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260" w:after="260" w:line="360" w:lineRule="auto"/>
        <w:ind w:left="0" w:right="0" w:firstLine="643" w:firstLineChars="200"/>
        <w:jc w:val="center"/>
        <w:textAlignment w:val="auto"/>
        <w:rPr>
          <w:rFonts w:ascii="宋体" w:hAnsi="宋体" w:eastAsia="宋体" w:cs="宋体"/>
          <w:b/>
          <w:color w:val="auto"/>
          <w:spacing w:val="0"/>
          <w:position w:val="0"/>
          <w:sz w:val="32"/>
          <w:shd w:val="clear" w:fill="auto"/>
        </w:rPr>
      </w:pPr>
      <w:bookmarkStart w:id="0" w:name="_GoBack"/>
      <w:bookmarkEnd w:id="0"/>
      <w:r>
        <w:rPr>
          <w:rFonts w:ascii="宋体" w:hAnsi="宋体" w:eastAsia="宋体" w:cs="宋体"/>
          <w:b/>
          <w:color w:val="auto"/>
          <w:spacing w:val="0"/>
          <w:position w:val="0"/>
          <w:sz w:val="32"/>
          <w:shd w:val="clear" w:fill="auto"/>
        </w:rPr>
        <w:t>2022</w:t>
      </w:r>
      <w:r>
        <w:rPr>
          <w:rFonts w:hint="eastAsia" w:ascii="宋体" w:hAnsi="宋体" w:eastAsia="宋体" w:cs="宋体"/>
          <w:b/>
          <w:color w:val="auto"/>
          <w:spacing w:val="0"/>
          <w:position w:val="0"/>
          <w:sz w:val="32"/>
          <w:shd w:val="clear" w:fill="auto"/>
          <w:lang w:val="en-US" w:eastAsia="zh-Hans"/>
        </w:rPr>
        <w:t>年</w:t>
      </w:r>
      <w:r>
        <w:rPr>
          <w:rFonts w:ascii="宋体" w:hAnsi="宋体" w:eastAsia="宋体" w:cs="宋体"/>
          <w:b/>
          <w:color w:val="auto"/>
          <w:spacing w:val="0"/>
          <w:position w:val="0"/>
          <w:sz w:val="32"/>
          <w:shd w:val="clear" w:fill="auto"/>
        </w:rPr>
        <w:t>国家教师资格考试</w:t>
      </w:r>
    </w:p>
    <w:p>
      <w:pPr>
        <w:keepNext/>
        <w:keepLines/>
        <w:pageBreakBefore w:val="0"/>
        <w:widowControl w:val="0"/>
        <w:kinsoku/>
        <w:wordWrap/>
        <w:overflowPunct/>
        <w:topLinePunct w:val="0"/>
        <w:autoSpaceDE/>
        <w:autoSpaceDN/>
        <w:bidi w:val="0"/>
        <w:adjustRightInd/>
        <w:snapToGrid/>
        <w:spacing w:before="260" w:after="260" w:line="360" w:lineRule="auto"/>
        <w:ind w:left="0" w:right="0" w:firstLine="643" w:firstLineChars="200"/>
        <w:jc w:val="center"/>
        <w:textAlignment w:val="auto"/>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《教育知识与能力》（中学）</w:t>
      </w:r>
    </w:p>
    <w:p>
      <w:pPr>
        <w:keepNext/>
        <w:keepLines/>
        <w:pageBreakBefore w:val="0"/>
        <w:widowControl w:val="0"/>
        <w:kinsoku/>
        <w:wordWrap/>
        <w:overflowPunct/>
        <w:topLinePunct w:val="0"/>
        <w:autoSpaceDE/>
        <w:autoSpaceDN/>
        <w:bidi w:val="0"/>
        <w:adjustRightInd/>
        <w:snapToGrid/>
        <w:spacing w:before="260" w:after="260" w:line="360" w:lineRule="auto"/>
        <w:ind w:left="0" w:right="0" w:firstLine="643" w:firstLineChars="200"/>
        <w:jc w:val="center"/>
        <w:textAlignment w:val="auto"/>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模拟卷（</w:t>
      </w:r>
      <w:r>
        <w:rPr>
          <w:rFonts w:hint="eastAsia" w:ascii="宋体" w:hAnsi="宋体" w:eastAsia="宋体" w:cs="宋体"/>
          <w:b/>
          <w:color w:val="auto"/>
          <w:spacing w:val="0"/>
          <w:position w:val="0"/>
          <w:sz w:val="32"/>
          <w:shd w:val="clear" w:fill="auto"/>
          <w:lang w:val="en-US" w:eastAsia="zh-Hans"/>
        </w:rPr>
        <w:t>三</w:t>
      </w:r>
      <w:r>
        <w:rPr>
          <w:rFonts w:ascii="宋体" w:hAnsi="宋体" w:eastAsia="宋体" w:cs="宋体"/>
          <w:b/>
          <w:color w:val="auto"/>
          <w:spacing w:val="0"/>
          <w:position w:val="0"/>
          <w:sz w:val="32"/>
          <w:shd w:val="clear" w:fill="auto"/>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rPr>
      </w:pPr>
      <w:r>
        <w:rPr>
          <w:rFonts w:hint="eastAsia" w:ascii="黑体" w:hAnsi="黑体" w:eastAsia="黑体" w:cs="黑体"/>
        </w:rPr>
        <w:t xml:space="preserve">注意事项：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rPr>
      </w:pPr>
      <w:r>
        <w:rPr>
          <w:rFonts w:hint="eastAsia" w:ascii="黑体" w:hAnsi="黑体" w:eastAsia="黑体" w:cs="黑体"/>
        </w:rPr>
        <w:t xml:space="preserve">1. 考试时间为 120 分钟，满分为 150 分。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rPr>
      </w:pPr>
      <w:r>
        <w:rPr>
          <w:rFonts w:hint="eastAsia" w:ascii="黑体" w:hAnsi="黑体" w:eastAsia="黑体" w:cs="黑体"/>
        </w:rPr>
        <w:t xml:space="preserve">2. 请按规定在答题卡上填涂、作答。在试卷上作答无效，不予评分。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一、单项选择题（本大题共 29 小题，每小题 2 分，共 58 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在每小题列出的四个备选项中只有一个是符合题目要求的，请用 2B 铅笔把答题卡上对应题目的答案字母按要求涂黑。错选、多选或未选均无分。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1.吴老师从来不以学生的成绩作为唯一的评判标准，她经常对班上的同学说：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“每个人都有自己的优点，要善于发挥自己的特长，你们每个人都是独特的。”针对不同的学生吴老师也会采用不同的教育方法。这表明吴老师关注</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A.教学情境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B.学生发展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C.人际关系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D.班级建设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2.王老师十分关注学生的成绩，平时课后经常进班辅导学生，对于作业完成 不好的学生，王老师会当众批评、大声训斥，王老师认为只有这样学生才会长记 性。王老师的想法</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A.正确，严师出高徒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B.正确，对待学生要适当奖惩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C.错误，王老师不应关注学生成绩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D.错误，王老师没有做到尊重学生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3.学校每次组织的心理学讲座，朱老师从来不去听，因为他认为，作为教师 就是要具备扎实的学科专业知识和教学基本功，至于心理学方面的知识不是教师 应该学习的。朱老师的做法</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A.正确，教师最重要的是自己的专业知识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B.正确，听讲座是教师的自由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C.错误，教师需要掌握必备的教育科学知识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D.错误，接受培训是教师的义务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4.某中学为了提高学生的成绩，在快期末考试的时候取消了美术和音乐课， 这种做法</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 xml:space="preserve">正确，有利于学生成绩的提高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 xml:space="preserve">正确，有利于学生的个性发展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 xml:space="preserve">错误，不利于学生的全面发展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D.</w:t>
      </w:r>
      <w:r>
        <w:t xml:space="preserve">错误，不利于学生学会自主学习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5.某市教育局每年都将大量的经费和资源分配给当地升学率高的学校，这种 做法</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 xml:space="preserve">属于实事求是，着眼实际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 xml:space="preserve">没有促进学校均衡发展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 xml:space="preserve">对升学率差的学校起到激励作用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D.</w:t>
      </w:r>
      <w:r>
        <w:t xml:space="preserve">有利于形成良性竞争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6.初二的楠楠听说田馥甄在学校周边演出，偷偷跑出学校，过马路的时候不 慎摔伤。对此事故，承担责任的主体应是</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 xml:space="preserve">田馥甄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 xml:space="preserve">楠楠及其监护人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 xml:space="preserve">学校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D.</w:t>
      </w:r>
      <w:r>
        <w:t xml:space="preserve">交通局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7.自大力开展“阳光体育”运动以来，为保证学生运动时间不少于</w:t>
      </w:r>
      <w:r>
        <w:rPr>
          <w:rFonts w:hint="eastAsia"/>
          <w:lang w:eastAsia="zh-CN"/>
        </w:rPr>
        <w:t>（    ）</w:t>
      </w:r>
      <w:r>
        <w:t xml:space="preserve">， 小学的大课间已经由之前单一的“跑圈”，转变为丰富多彩的体育活动。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A.15 分钟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B.30 分钟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C.60 分钟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D.90 分钟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8.小瑜是刚刚入职的中学教师，学校以她是新老师为由，暑假期间不为其发 放工资。学校的做法侵犯了小瑜的</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 xml:space="preserve">教育教学权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 xml:space="preserve">科学研究权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 xml:space="preserve">获取报酬待遇权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D.</w:t>
      </w:r>
      <w:r>
        <w:t xml:space="preserve">指导评价权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9.江西某中学以向学生推销教辅资料和学生报的方式谋取利益，声称这类资 料对于学生考取重点高中非常有帮助。学校的做法</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 xml:space="preserve">正确，有利于学生考取重点高中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 xml:space="preserve">错误，教育局应该给予校长行政处罚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 xml:space="preserve">正确，多看各种教辅资料有利于学生的全面发展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D.</w:t>
      </w:r>
      <w:r>
        <w:t xml:space="preserve">错误，教育局应该给予学校通报批评，并且没收违法所得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10.学生李丽身体不适，不宜参加军训，但是体育老师认为李丽是故意找借  口逃避军训。如果李丽在军训时发生意外，应该由</w:t>
      </w:r>
      <w:r>
        <w:rPr>
          <w:rFonts w:hint="eastAsia"/>
          <w:lang w:eastAsia="zh-CN"/>
        </w:rPr>
        <w:t>（    ）</w:t>
      </w:r>
      <w:r>
        <w:t xml:space="preserve">依法承担相应的责任。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 xml:space="preserve">李丽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 xml:space="preserve">李丽父母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 xml:space="preserve">学校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D.</w:t>
      </w:r>
      <w:r>
        <w:t xml:space="preserve">班主任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11.9 岁的琦琦是一名流浪儿，根据《中华人民共和国未成年人保护法》，应对其履行收留抚养责任的主体是</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 xml:space="preserve">学校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 xml:space="preserve">民政部门设立的儿童福利机构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 xml:space="preserve">公安部门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D.</w:t>
      </w:r>
      <w:r>
        <w:t xml:space="preserve">居民委员会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12.某某学校的宿舍管理员张老师，在晚间查寝时吸烟，张老师的行为</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 xml:space="preserve">正确，教师可以在学生寝室吸烟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 xml:space="preserve">正确，张老师不是任课老师可以吸烟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 xml:space="preserve">不正确，教师不能在学生寝室吸烟    </w:t>
      </w:r>
      <w:r>
        <w:tab/>
      </w:r>
      <w:r>
        <w:t xml:space="preserve"> </w:t>
      </w:r>
      <w:r>
        <w:tab/>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D.</w:t>
      </w:r>
      <w:r>
        <w:t xml:space="preserve">不正确，教师只能偷偷在办公室吸烟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13.临近退休的赵老师虽然头发花白，依然干劲十足，不断学习充电，虚心向年轻教师请教新颖课件的制作方法，他笑言：“老了可不能服老或倚老卖老，要不断学习争取不被拍倒在沙滩上！”这说明赵老师具有</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 xml:space="preserve">团结同事的意识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 xml:space="preserve">关心学生的意识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 xml:space="preserve">实施素质教育的意识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D.</w:t>
      </w:r>
      <w:r>
        <w:t xml:space="preserve">终身学习的意识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14.刘老师的发际线有点高，学生小张在背后给刘老师起了个外号叫“威廉王子”，刘老师无意之中听到后非常生气，在上课时经常点名小张回答问题，回答不上来就对其严厉批评、甚至进行讽刺挖苦。刘老师的行为</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 xml:space="preserve">正确，有助于帮助小张谨言慎行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 xml:space="preserve">正确，可以警示班上其他同学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 xml:space="preserve">不正确，不利于小张个性成长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D.</w:t>
      </w:r>
      <w:r>
        <w:t xml:space="preserve">不正确，没有尊重小张的人格尊严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15.下列选聘班主任的做法，符合《中小学班主任工作规定》的是</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 xml:space="preserve">由于时间紧，刚毕业的王老师跳过岗前培训直接担任班主任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 xml:space="preserve">因家长投诉，跳跳所在的班这学期已经换了两任班主任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 xml:space="preserve">新学期三班的班主任由负责教务的姜老师担任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D.</w:t>
      </w:r>
      <w:r>
        <w:t xml:space="preserve">某校建立班主任工作档案，定期组织对班主任的考核工作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16.教师和家长的正确沟通的方式方法是</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 xml:space="preserve">将在学校犯错误的小夏交给其家长带回家管教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 xml:space="preserve">经常与家长主动联系，及时沟通学生的近况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 xml:space="preserve">为了集中精力教学中止家访活动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D.</w:t>
      </w:r>
      <w:r>
        <w:t xml:space="preserve">教师因为小花在学校里面调皮捣蛋，斥责其家长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17.伯牙鼓琴、子期知音的故事传唱了两千多年。请问，他们是以下列哪首乐曲而成为知音的</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 xml:space="preserve">《阳关三叠》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 xml:space="preserve">《梅花三弄》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 xml:space="preserve">《阳春白雪》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D.</w:t>
      </w:r>
      <w:r>
        <w:t xml:space="preserve">《高山流水》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18.三皇五帝时期，河水泛滥，大禹从鲧治水的失败中汲取教训，改变了“堵” 的办法，转而对洪水进行疏导，大禹“三过家门而不入”，耗尽心血与体力终于 完成了治水的大业。他治理的河流是</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 xml:space="preserve">黄河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 xml:space="preserve">海河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 xml:space="preserve">长江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D.</w:t>
      </w:r>
      <w:r>
        <w:t xml:space="preserve">淮河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19.下列作品不是拉斐尔创作的是</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 xml:space="preserve">《西斯廷圣母》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 xml:space="preserve">《雅典学派》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 xml:space="preserve">《大公爵的圣母》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D.</w:t>
      </w:r>
      <w:r>
        <w:t xml:space="preserve">《岩间圣母》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20.秦始皇推行的标准文字是</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 xml:space="preserve">甲骨文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 xml:space="preserve">金文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 xml:space="preserve">小篆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D.</w:t>
      </w:r>
      <w:r>
        <w:t xml:space="preserve">隶书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21.《史记》是后世纪传体史书的典范。下列人物在《史记》中有记载的是</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 xml:space="preserve">蔡伦 </w:t>
      </w:r>
      <w: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 xml:space="preserve">华佗 </w:t>
      </w:r>
      <w: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张仲景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D.</w:t>
      </w:r>
      <w:r>
        <w:t xml:space="preserve">汉武帝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22.“一个人并不是生来要被打败的，你尽可以把他消灭，可就是打不败他。”这句话出自海明威的名著是</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 xml:space="preserve">《太阳照常升起》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 xml:space="preserve">《老人与海》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 xml:space="preserve">《丧钟为谁而鸣》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D.</w:t>
      </w:r>
      <w:r>
        <w:t xml:space="preserve">《永别了，武器》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23.作家莫言获得了 2012 年诺贝尔文学奖,成为我国首位获得诺贝尔文学奖的本土作家。下列四组文学作品,全部属于莫言作品的是</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A.《红高粱》《檀香刑》《你在高原》《丰乳肥臀》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B.《檀香刑》《酒国》《蛙》《穆斯林的葬礼》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C.《红高梁》《丰乳肥臀》《蛙》《酒国》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D.《红高梁》《透明的红萝卜》《檀香刑》《推拿》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24.二次能源不包括</w:t>
      </w:r>
      <w:r>
        <w:rPr>
          <w:rFonts w:hint="eastAsia"/>
          <w:lang w:eastAsia="zh-CN"/>
        </w:rPr>
        <w:t>（    ）</w:t>
      </w:r>
      <w:r>
        <w:t xml:space="preserve">。 </w:t>
      </w:r>
    </w:p>
    <w:tbl>
      <w:tblPr>
        <w:tblStyle w:val="4"/>
        <w:tblW w:w="0" w:type="auto"/>
        <w:tblInd w:w="561" w:type="dxa"/>
        <w:tblLayout w:type="autofit"/>
        <w:tblCellMar>
          <w:top w:w="0" w:type="dxa"/>
          <w:left w:w="10" w:type="dxa"/>
          <w:bottom w:w="0" w:type="dxa"/>
          <w:right w:w="10" w:type="dxa"/>
        </w:tblCellMar>
      </w:tblPr>
      <w:tblGrid>
        <w:gridCol w:w="1068"/>
        <w:gridCol w:w="450"/>
        <w:gridCol w:w="421"/>
      </w:tblGrid>
      <w:tr>
        <w:tblPrEx>
          <w:tblCellMar>
            <w:top w:w="0" w:type="dxa"/>
            <w:left w:w="10" w:type="dxa"/>
            <w:bottom w:w="0" w:type="dxa"/>
            <w:right w:w="10" w:type="dxa"/>
          </w:tblCellMar>
        </w:tblPrEx>
        <w:trPr>
          <w:trHeight w:val="0" w:hRule="atLeast"/>
        </w:trPr>
        <w:tc>
          <w:tcPr>
            <w:tcW w:w="1068"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A.核能 </w:t>
            </w:r>
          </w:p>
        </w:tc>
        <w:tc>
          <w:tcPr>
            <w:tcW w:w="450"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 </w:t>
            </w:r>
          </w:p>
        </w:tc>
        <w:tc>
          <w:tcPr>
            <w:tcW w:w="322"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 </w:t>
            </w:r>
          </w:p>
        </w:tc>
      </w:tr>
      <w:tr>
        <w:tblPrEx>
          <w:tblCellMar>
            <w:top w:w="0" w:type="dxa"/>
            <w:left w:w="10" w:type="dxa"/>
            <w:bottom w:w="0" w:type="dxa"/>
            <w:right w:w="10" w:type="dxa"/>
          </w:tblCellMar>
        </w:tblPrEx>
        <w:trPr>
          <w:trHeight w:val="0" w:hRule="atLeast"/>
        </w:trPr>
        <w:tc>
          <w:tcPr>
            <w:tcW w:w="1068"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B.焦炭 </w:t>
            </w:r>
          </w:p>
        </w:tc>
        <w:tc>
          <w:tcPr>
            <w:tcW w:w="450"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 </w:t>
            </w:r>
          </w:p>
        </w:tc>
        <w:tc>
          <w:tcPr>
            <w:tcW w:w="322"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 </w:t>
            </w:r>
          </w:p>
        </w:tc>
      </w:tr>
      <w:tr>
        <w:tblPrEx>
          <w:tblCellMar>
            <w:top w:w="0" w:type="dxa"/>
            <w:left w:w="10" w:type="dxa"/>
            <w:bottom w:w="0" w:type="dxa"/>
            <w:right w:w="10" w:type="dxa"/>
          </w:tblCellMar>
        </w:tblPrEx>
        <w:trPr>
          <w:trHeight w:val="0" w:hRule="atLeast"/>
        </w:trPr>
        <w:tc>
          <w:tcPr>
            <w:tcW w:w="1068"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C.蒸汽 </w:t>
            </w:r>
          </w:p>
        </w:tc>
        <w:tc>
          <w:tcPr>
            <w:tcW w:w="450"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 </w:t>
            </w:r>
          </w:p>
        </w:tc>
        <w:tc>
          <w:tcPr>
            <w:tcW w:w="322"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 </w:t>
            </w:r>
          </w:p>
        </w:tc>
      </w:tr>
      <w:tr>
        <w:tblPrEx>
          <w:tblCellMar>
            <w:top w:w="0" w:type="dxa"/>
            <w:left w:w="10" w:type="dxa"/>
            <w:bottom w:w="0" w:type="dxa"/>
            <w:right w:w="10" w:type="dxa"/>
          </w:tblCellMar>
        </w:tblPrEx>
        <w:trPr>
          <w:trHeight w:val="0" w:hRule="atLeast"/>
        </w:trPr>
        <w:tc>
          <w:tcPr>
            <w:tcW w:w="1068"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D.电能 </w:t>
            </w:r>
          </w:p>
        </w:tc>
        <w:tc>
          <w:tcPr>
            <w:tcW w:w="450"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tc>
        <w:tc>
          <w:tcPr>
            <w:tcW w:w="322"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25.以下哪个</w:t>
      </w:r>
      <w:r>
        <w:rPr>
          <w:rFonts w:hint="eastAsia"/>
          <w:lang w:eastAsia="zh-CN"/>
        </w:rPr>
        <w:t>（    ）</w:t>
      </w:r>
      <w:r>
        <w:t xml:space="preserve">不是国际制基本单位。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安培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千米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千克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D.</w:t>
      </w:r>
      <w:r>
        <w:t>开尔文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26.在下图Excel中，C3单元格不能正常显示内容的原因是</w:t>
      </w:r>
      <w:r>
        <w:rPr>
          <w:rFonts w:hint="eastAsia"/>
          <w:lang w:eastAsia="zh-CN"/>
        </w:rPr>
        <w:t>（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object>
          <v:shape id="_x0000_i1025" o:spt="75" type="#_x0000_t75" style="height:106.9pt;width:331.6pt;" o:ole="t" filled="f" o:preferrelative="t" coordsize="21600,21600">
            <v:path/>
            <v:fill on="f" focussize="0,0"/>
            <v:stroke/>
            <v:imagedata r:id="rId7" o:title=""/>
            <o:lock v:ext="edit" aspectratio="t"/>
            <w10:wrap type="none"/>
            <w10:anchorlock/>
          </v:shape>
          <o:OLEObject Type="Embed" ProgID="StaticMetafile" ShapeID="_x0000_i1025" DrawAspect="Content" ObjectID="_1468075725" r:id="rId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 xml:space="preserve">输入错误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 xml:space="preserve">单元格宽度不够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 xml:space="preserve">单元格格式设置错误 </w:t>
      </w:r>
      <w: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D.</w:t>
      </w:r>
      <w:r>
        <w:t xml:space="preserve">单元格高度不够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27.Excel 中分类汇总之前需要</w:t>
      </w:r>
      <w:r>
        <w:rPr>
          <w:rFonts w:hint="eastAsia"/>
          <w:lang w:eastAsia="zh-CN"/>
        </w:rPr>
        <w:t>（    ）</w:t>
      </w:r>
      <w:r>
        <w:t xml:space="preserve"> </w:t>
      </w:r>
    </w:p>
    <w:tbl>
      <w:tblPr>
        <w:tblStyle w:val="4"/>
        <w:tblW w:w="0" w:type="auto"/>
        <w:tblInd w:w="561" w:type="dxa"/>
        <w:tblLayout w:type="autofit"/>
        <w:tblCellMar>
          <w:top w:w="0" w:type="dxa"/>
          <w:left w:w="10" w:type="dxa"/>
          <w:bottom w:w="0" w:type="dxa"/>
          <w:right w:w="10" w:type="dxa"/>
        </w:tblCellMar>
      </w:tblPr>
      <w:tblGrid>
        <w:gridCol w:w="1068"/>
        <w:gridCol w:w="450"/>
        <w:gridCol w:w="421"/>
        <w:gridCol w:w="421"/>
      </w:tblGrid>
      <w:tr>
        <w:tblPrEx>
          <w:tblCellMar>
            <w:top w:w="0" w:type="dxa"/>
            <w:left w:w="10" w:type="dxa"/>
            <w:bottom w:w="0" w:type="dxa"/>
            <w:right w:w="10" w:type="dxa"/>
          </w:tblCellMar>
        </w:tblPrEx>
        <w:trPr>
          <w:trHeight w:val="0" w:hRule="atLeast"/>
        </w:trPr>
        <w:tc>
          <w:tcPr>
            <w:tcW w:w="1068"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A.排序 </w:t>
            </w:r>
          </w:p>
        </w:tc>
        <w:tc>
          <w:tcPr>
            <w:tcW w:w="450"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 </w:t>
            </w:r>
          </w:p>
        </w:tc>
        <w:tc>
          <w:tcPr>
            <w:tcW w:w="421"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 </w:t>
            </w:r>
          </w:p>
        </w:tc>
        <w:tc>
          <w:tcPr>
            <w:tcW w:w="318"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 </w:t>
            </w:r>
          </w:p>
        </w:tc>
      </w:tr>
      <w:tr>
        <w:tblPrEx>
          <w:tblCellMar>
            <w:top w:w="0" w:type="dxa"/>
            <w:left w:w="10" w:type="dxa"/>
            <w:bottom w:w="0" w:type="dxa"/>
            <w:right w:w="10" w:type="dxa"/>
          </w:tblCellMar>
        </w:tblPrEx>
        <w:trPr>
          <w:trHeight w:val="0" w:hRule="atLeast"/>
        </w:trPr>
        <w:tc>
          <w:tcPr>
            <w:tcW w:w="1068"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B.筛选 </w:t>
            </w:r>
          </w:p>
        </w:tc>
        <w:tc>
          <w:tcPr>
            <w:tcW w:w="450"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 </w:t>
            </w:r>
          </w:p>
        </w:tc>
        <w:tc>
          <w:tcPr>
            <w:tcW w:w="421"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 </w:t>
            </w:r>
          </w:p>
        </w:tc>
        <w:tc>
          <w:tcPr>
            <w:tcW w:w="318"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 </w:t>
            </w:r>
          </w:p>
        </w:tc>
      </w:tr>
      <w:tr>
        <w:tblPrEx>
          <w:tblCellMar>
            <w:top w:w="0" w:type="dxa"/>
            <w:left w:w="10" w:type="dxa"/>
            <w:bottom w:w="0" w:type="dxa"/>
            <w:right w:w="10" w:type="dxa"/>
          </w:tblCellMar>
        </w:tblPrEx>
        <w:trPr>
          <w:trHeight w:val="0" w:hRule="atLeast"/>
        </w:trPr>
        <w:tc>
          <w:tcPr>
            <w:tcW w:w="1068"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C.合并 </w:t>
            </w:r>
          </w:p>
        </w:tc>
        <w:tc>
          <w:tcPr>
            <w:tcW w:w="450"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 </w:t>
            </w:r>
          </w:p>
        </w:tc>
        <w:tc>
          <w:tcPr>
            <w:tcW w:w="421"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 </w:t>
            </w:r>
          </w:p>
        </w:tc>
        <w:tc>
          <w:tcPr>
            <w:tcW w:w="318"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 </w:t>
            </w:r>
          </w:p>
        </w:tc>
      </w:tr>
      <w:tr>
        <w:tblPrEx>
          <w:tblCellMar>
            <w:top w:w="0" w:type="dxa"/>
            <w:left w:w="10" w:type="dxa"/>
            <w:bottom w:w="0" w:type="dxa"/>
            <w:right w:w="10" w:type="dxa"/>
          </w:tblCellMar>
        </w:tblPrEx>
        <w:trPr>
          <w:trHeight w:val="0" w:hRule="atLeast"/>
        </w:trPr>
        <w:tc>
          <w:tcPr>
            <w:tcW w:w="1068"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D.分类 </w:t>
            </w:r>
          </w:p>
        </w:tc>
        <w:tc>
          <w:tcPr>
            <w:tcW w:w="450"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tc>
        <w:tc>
          <w:tcPr>
            <w:tcW w:w="421"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tc>
        <w:tc>
          <w:tcPr>
            <w:tcW w:w="318"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28.陈华、刘刚、王明三人中，星期日只有一个人在家做作业。陈华说：“我在家做作业”，刘刚说：“我没在家做作业”，王明说：“陈华没有在家做作业”。如果这三句话，只有一句是真的，那么说真话的是：（    ）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A.</w:t>
      </w:r>
      <w:r>
        <w:t xml:space="preserve">无法判断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B.</w:t>
      </w:r>
      <w:r>
        <w:t xml:space="preserve">王明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C.</w:t>
      </w:r>
      <w:r>
        <w:t xml:space="preserve">刘刚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D.</w:t>
      </w:r>
      <w:r>
        <w:t xml:space="preserve">陈华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29.从所给四个选项中，选择最合适的一个填入问号处，使之呈现一定的规律性：（    ）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object>
          <v:shape id="_x0000_i1026" o:spt="75" type="#_x0000_t75" style="height:153.6pt;width:399.8pt;" o:ole="t" filled="f" o:preferrelative="t" coordsize="21600,21600">
            <v:path/>
            <v:fill on="f" focussize="0,0"/>
            <v:stroke/>
            <v:imagedata r:id="rId9" o:title=""/>
            <o:lock v:ext="edit" aspectratio="t"/>
            <w10:wrap type="none"/>
            <w10:anchorlock/>
          </v:shape>
          <o:OLEObject Type="Embed" ProgID="StaticMetafile" ShapeID="_x0000_i1026" DrawAspect="Content" ObjectID="_1468075726" r:id="rId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二、材料分析题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（阅读材料，并回答问题。共 3 道题，每题 14 分，共 42 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30.材料：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t>某校班主任齐老师讲课很认真，但为人十分傲慢苛刻，对学习好的、聪明的、  成绩好比较关注，对学习成绩不良的学生却非常不客气，讽刺、挖苦学生是常事。  该班一女生徐某平时学习很刻苦，但脑子反应比较慢。一次，她被齐老师提问， 未能回答上来，齐老师当场就是一顿讽刺：“哼，像你这样的还想上大学？我看  你就能上家里蹲大学，修理地球系，拉锄钩</w:t>
      </w:r>
      <w:r>
        <w:rPr>
          <w:rFonts w:hint="eastAsia" w:ascii="宋体" w:hAnsi="宋体" w:eastAsia="宋体" w:cs="宋体"/>
        </w:rPr>
        <w:t xml:space="preserve">子专业……”惹得全班哄堂大笑，而  徐某却抬不起头来。一时间，齐老师的话被同学们竞相传开了，徐某成了众人的  笑柄。她丧失了继续学习的信心，回到家又哭又闹，死活也不肯再上学了。一周后，徐某退学了，而齐老师却在班上公开讲：“她早就该回家，再学也是白费！”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问题：根据职业理念的相关知识，分析上述材料。（14 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31.学生每天中午都吃学校的盒饭，一天，班主任发现垃圾桶附近饭盒扔得 到处都是，就请在场的同学清理。可在场的同学却说："这事一直都是小东在做， 我们不管！"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小东是刚从别的小学转来的，家境很贫寒，人也很老实，平时不太合群，总 是被其他同学欺负，自己又不敢说。老师了解到这一情况后，一方面带头清理垃， 带领其他同学共同解决班级的环境问题；另一方面，更加关心和爱护小东，帮助 小东更好的融入班集体，和大家做朋友……过了一段时间后，小东和同学们打成 一片；大家的劳动积极性也提高了。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问题：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请从教师职业道德行为角度，评析孙老师的教育行为。（14 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32.材料：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rPr>
      </w:pPr>
      <w:r>
        <w:rPr>
          <w:rFonts w:hint="eastAsia" w:ascii="宋体" w:hAnsi="宋体" w:eastAsia="宋体" w:cs="宋体"/>
        </w:rPr>
        <w:t>国际与本土张颐武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春节的价值和象征性的意义都是不可估量的，可以说是中国人最重要文化符 号之一，也是华人文化认同的象征。回首过去，世界和我们自己都发生了许多深 刻的变化，春节也在不变和变化中呈现了新的形态。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春节现在越来越引起人们的高度关切。一方面是中国的崛起造成的文化影响  力和全球华人的力量的兴起已经使得春节越来越引起了国际的关注。“中国年” 的价值和意义越来越变成了中国的重要的文化象征，逐步为世界所了解。虽然春  节在全球范围内的影响力还远不能和圣诞节相比，但在世界许多华人移民较多的  城市或社会中，春节也开始在华人社区之外产生影响。以往仅仅是传统的唐人街张灯结彩地庆祝，现在往往已经成为当地多元文化的一个重要的部分。各国政要也都发表对于春节的祝福。春节在全球的意义的凸显是一个相当引人注目的现象。 另一方面，过年的意义在今天人们重视传统文化和家庭价值的时刻更加凸显了出来。国内的“过年”的气氛也一年浓似一年。在计划经济时代，春节被简化为“过革命化的春节”。而八十年代时，在现代化和西化的浪潮中，春节的文化和认同的意义也还没有像今天一样被强化得如此之高。人们越来越重视春节的意义，越来越强调在这一时刻的文化的价值和生活意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当然，春节的国际化还仅仅限于华人和对于中国文化有兴趣的人，还难以变 得更普及。它还不能在全球获得更多的影响力。这当然和中国文化的现实的处境 有关，其全球的传播和理解还有不少局限和问题。因此，如何推展春节的文化含 义，让世界更加深入地了解其意义和价值，还是一个现实的困难。关于春节的那 些中国文化的积淀，还需要更多的理解和体认，这其实对于全球的跨文化对话具 有高度的意义和价值。让人们了解春节的趣味和活力，还需要全球华人社会更好 地努力。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春节在国内的传统意义得到了相当大的弘扬和发挥。当然也造成了返乡和回家的诸多困扰和问题，造成了春运的巨大的压力。现代所要求的是高度的流动性，  是跨越边界的需要和人的高度的灵活性，这和传统的归乡的感情的关系是复杂的。 今天的春节热说明中国社会的本土因素在当下的背景下得到了更多的展现。从这一点上看，如何回应这样的感情和精神的追求就是社会需要认真探究的。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问题：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1.从全文来看，春节“越来越引起人们的高度的关切”的原因有哪些？（4 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2.结合文意，概述应如何解决春节面临的“国际化”和“本土化”问题？（10 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三、写作题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（共 1 道题，50 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33.材料：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ascii="宋体" w:hAnsi="宋体" w:eastAsia="宋体" w:cs="宋体"/>
        </w:rPr>
        <w:t>蹲下去，请蹲下去，细细观察一棵草，哪怕是一棵最平常、最弱小的草。  草也是一个生命，生命与生命相对，你不再是观察草，而是</w:t>
      </w:r>
      <w:r>
        <w:t xml:space="preserve">面对着另一个生命，交流、领悟；草也不再是观察你，草面对着你这庞大而复杂的另一生命，将 自由地显示出自己的全部尊严、省悟与憧憬。蹲下去，请蹲下去……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要求：用规范的现代汉语写作。不要脱离材料内容或含义，立意自定，题目 自拟，观点明确，分析具体，条理清晰，语言流畅，文体不限；不少于 800（小学）或 1000（中学）字。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sectPr>
      <w:headerReference r:id="rId3" w:type="default"/>
      <w:footerReference r:id="rId4" w:type="default"/>
      <w:pgSz w:w="11906" w:h="16838"/>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d1dzG4QEAALkDAAAOAAAA&#10;AAAAAAEAIAAAAB4BAABkcnMvZTJvRG9jLnhtbFBLBQYAAAAABgAGAFkBAABxBQ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NjRlNTY5NmFlZDM4N2FiMmQ3NTdmNzA1ZGJlODQifQ=="/>
  </w:docVars>
  <w:rsids>
    <w:rsidRoot w:val="00000000"/>
    <w:rsid w:val="01A64A6E"/>
    <w:rsid w:val="0AAB7E2E"/>
    <w:rsid w:val="0C4B79F1"/>
    <w:rsid w:val="0DD836C6"/>
    <w:rsid w:val="1D435A9C"/>
    <w:rsid w:val="1DFC7E1D"/>
    <w:rsid w:val="24453BCA"/>
    <w:rsid w:val="29F4455C"/>
    <w:rsid w:val="324529B1"/>
    <w:rsid w:val="32B10C91"/>
    <w:rsid w:val="3E967385"/>
    <w:rsid w:val="3EE3083B"/>
    <w:rsid w:val="43C679C3"/>
    <w:rsid w:val="44B65BB6"/>
    <w:rsid w:val="453D5EF9"/>
    <w:rsid w:val="47B70B40"/>
    <w:rsid w:val="4E7F07B9"/>
    <w:rsid w:val="52F92CCE"/>
    <w:rsid w:val="57670F78"/>
    <w:rsid w:val="57E233FE"/>
    <w:rsid w:val="59DD02A3"/>
    <w:rsid w:val="68AA53F7"/>
    <w:rsid w:val="6E5E1A9F"/>
    <w:rsid w:val="72091606"/>
    <w:rsid w:val="72FFE5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Office_11.1.0.12019_F1E327BC-269C-435d-A152-05C5408002CA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2021-09-08T17:41:00Z</dcterms:created>
  <dc:creator>86184</dc:creator>
  <cp:lastModifiedBy>师院3幢文印室</cp:lastModifiedBy>
  <dcterms:modified xsi:type="dcterms:W3CDTF">2022-09-07T03:20:46Z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B3B06895A41341CCA463E787AA787549</vt:lpwstr>
  </property>
</Properties>
</file>