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260" w:after="260" w:line="360" w:lineRule="auto"/>
        <w:ind w:left="0" w:right="0" w:firstLine="643" w:firstLineChars="200"/>
        <w:jc w:val="center"/>
        <w:textAlignment w:val="auto"/>
        <w:rPr>
          <w:rFonts w:ascii="宋体" w:hAnsi="宋体" w:eastAsia="宋体" w:cs="宋体"/>
          <w:b/>
          <w:color w:val="auto"/>
          <w:spacing w:val="0"/>
          <w:position w:val="0"/>
          <w:sz w:val="32"/>
          <w:shd w:val="clear" w:fill="auto"/>
        </w:rPr>
      </w:pPr>
      <w:bookmarkStart w:id="0" w:name="_GoBack"/>
      <w:bookmarkEnd w:id="0"/>
      <w:r>
        <w:rPr>
          <w:rFonts w:ascii="宋体" w:hAnsi="宋体" w:eastAsia="宋体" w:cs="宋体"/>
          <w:b/>
          <w:color w:val="auto"/>
          <w:spacing w:val="0"/>
          <w:position w:val="0"/>
          <w:sz w:val="32"/>
          <w:shd w:val="clear" w:fill="auto"/>
        </w:rPr>
        <w:t>2022</w:t>
      </w:r>
      <w:r>
        <w:rPr>
          <w:rFonts w:hint="eastAsia" w:ascii="宋体" w:hAnsi="宋体" w:eastAsia="宋体" w:cs="宋体"/>
          <w:b/>
          <w:color w:val="auto"/>
          <w:spacing w:val="0"/>
          <w:position w:val="0"/>
          <w:sz w:val="32"/>
          <w:shd w:val="clear" w:fill="auto"/>
          <w:lang w:val="en-US" w:eastAsia="zh-Hans"/>
        </w:rPr>
        <w:t>年</w:t>
      </w:r>
      <w:r>
        <w:rPr>
          <w:rFonts w:ascii="宋体" w:hAnsi="宋体" w:eastAsia="宋体" w:cs="宋体"/>
          <w:b/>
          <w:color w:val="auto"/>
          <w:spacing w:val="0"/>
          <w:position w:val="0"/>
          <w:sz w:val="32"/>
          <w:shd w:val="clear" w:fill="auto"/>
        </w:rPr>
        <w:t>国家教师资格考试</w:t>
      </w:r>
    </w:p>
    <w:p>
      <w:pPr>
        <w:keepNext/>
        <w:keepLines/>
        <w:pageBreakBefore w:val="0"/>
        <w:widowControl w:val="0"/>
        <w:kinsoku/>
        <w:wordWrap/>
        <w:overflowPunct/>
        <w:topLinePunct w:val="0"/>
        <w:autoSpaceDE/>
        <w:autoSpaceDN/>
        <w:bidi w:val="0"/>
        <w:adjustRightInd/>
        <w:snapToGrid/>
        <w:spacing w:before="260" w:after="260" w:line="360" w:lineRule="auto"/>
        <w:ind w:left="0" w:right="0" w:firstLine="643" w:firstLineChars="200"/>
        <w:jc w:val="center"/>
        <w:textAlignment w:val="auto"/>
        <w:rPr>
          <w:rFonts w:ascii="宋体" w:hAnsi="宋体" w:eastAsia="宋体" w:cs="宋体"/>
          <w:b/>
          <w:color w:val="auto"/>
          <w:spacing w:val="0"/>
          <w:position w:val="0"/>
          <w:sz w:val="32"/>
          <w:shd w:val="clear" w:fill="auto"/>
        </w:rPr>
      </w:pPr>
      <w:r>
        <w:rPr>
          <w:rFonts w:ascii="宋体" w:hAnsi="宋体" w:eastAsia="宋体" w:cs="宋体"/>
          <w:b/>
          <w:color w:val="auto"/>
          <w:spacing w:val="0"/>
          <w:position w:val="0"/>
          <w:sz w:val="32"/>
          <w:shd w:val="clear" w:fill="auto"/>
        </w:rPr>
        <w:t>《教育知识与能力》（中学）</w:t>
      </w:r>
    </w:p>
    <w:p>
      <w:pPr>
        <w:keepNext/>
        <w:keepLines/>
        <w:pageBreakBefore w:val="0"/>
        <w:widowControl w:val="0"/>
        <w:kinsoku/>
        <w:wordWrap/>
        <w:overflowPunct/>
        <w:topLinePunct w:val="0"/>
        <w:autoSpaceDE/>
        <w:autoSpaceDN/>
        <w:bidi w:val="0"/>
        <w:adjustRightInd/>
        <w:snapToGrid/>
        <w:spacing w:before="260" w:after="260" w:line="360" w:lineRule="auto"/>
        <w:ind w:left="0" w:right="0" w:firstLine="643" w:firstLineChars="200"/>
        <w:jc w:val="center"/>
        <w:textAlignment w:val="auto"/>
        <w:rPr>
          <w:rFonts w:ascii="宋体" w:hAnsi="宋体" w:eastAsia="宋体" w:cs="宋体"/>
          <w:b/>
          <w:color w:val="auto"/>
          <w:spacing w:val="0"/>
          <w:position w:val="0"/>
          <w:sz w:val="32"/>
          <w:shd w:val="clear" w:fill="auto"/>
        </w:rPr>
      </w:pPr>
      <w:r>
        <w:rPr>
          <w:rFonts w:ascii="宋体" w:hAnsi="宋体" w:eastAsia="宋体" w:cs="宋体"/>
          <w:b/>
          <w:color w:val="auto"/>
          <w:spacing w:val="0"/>
          <w:position w:val="0"/>
          <w:sz w:val="32"/>
          <w:shd w:val="clear" w:fill="auto"/>
        </w:rPr>
        <w:t>模拟卷（</w:t>
      </w:r>
      <w:r>
        <w:rPr>
          <w:rFonts w:hint="eastAsia" w:ascii="宋体" w:hAnsi="宋体" w:eastAsia="宋体" w:cs="宋体"/>
          <w:b/>
          <w:color w:val="auto"/>
          <w:spacing w:val="0"/>
          <w:position w:val="0"/>
          <w:sz w:val="32"/>
          <w:shd w:val="clear" w:fill="auto"/>
          <w:lang w:val="en-US" w:eastAsia="zh-Hans"/>
        </w:rPr>
        <w:t>三</w:t>
      </w:r>
      <w:r>
        <w:rPr>
          <w:rFonts w:ascii="宋体" w:hAnsi="宋体" w:eastAsia="宋体" w:cs="宋体"/>
          <w:b/>
          <w:color w:val="auto"/>
          <w:spacing w:val="0"/>
          <w:position w:val="0"/>
          <w:sz w:val="32"/>
          <w:shd w:val="clear" w:fill="auto"/>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rPr>
      </w:pPr>
      <w:r>
        <w:rPr>
          <w:rFonts w:hint="eastAsia" w:ascii="黑体" w:hAnsi="黑体" w:eastAsia="黑体" w:cs="黑体"/>
        </w:rPr>
        <w:t xml:space="preserve">注意事项： </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rPr>
      </w:pPr>
      <w:r>
        <w:rPr>
          <w:rFonts w:hint="eastAsia" w:ascii="黑体" w:hAnsi="黑体" w:eastAsia="黑体" w:cs="黑体"/>
        </w:rPr>
        <w:t xml:space="preserve">1. 考试时间为 120 分钟，满分为 150 分。 </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rPr>
      </w:pPr>
      <w:r>
        <w:rPr>
          <w:rFonts w:hint="eastAsia" w:ascii="黑体" w:hAnsi="黑体" w:eastAsia="黑体" w:cs="黑体"/>
        </w:rPr>
        <w:t xml:space="preserve">2. 请按规定在答题卡上填涂、作答。在试卷上作答无效，不予评分。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一、单项选择题（本大题共 29 小题，每小题 2 分，共 58 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在每小题列出的四个备选项中只有一个是符合题目要求的，请用 2B 铅笔把答题卡上对应题目的答案字母按要求涂黑。错选、多选或未选均无分。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1.吴老师从来不以学生的成绩作为唯一的评判标准，她经常对班上的同学说：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“每个人都有自己的优点，要善于发挥自己的特长，你们每个人都是独特的。”针对不同的学生吴老师也会采用不同的教育方法。这表明吴老师关注</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A.教学情境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B.学生发展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C.人际关系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D.班级建设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2.王老师十分关注学生的成绩，平时课后经常进班辅导学生，对于作业完成 不好的学生，王老师会当众批评、大声训斥，王老师认为只有这样学生才会长记 性。王老师的想法</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A.正确，严师出高徒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B.正确，对待学生要适当奖惩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C.错误，王老师不应关注学生成绩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D.错误，王老师没有做到尊重学生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3.学校每次组织的心理学讲座，朱老师从来不去听，因为他认为，作为教师 就是要具备扎实的学科专业知识和教学基本功，至于心理学方面的知识不是教师 应该学习的。朱老师的做法</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A.正确，教师最重要的是自己的专业知识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B.正确，听讲座是教师的自由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C.错误，教师需要掌握必备的教育科学知识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D.错误，接受培训是教师的义务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4.某中学为了提高学生的成绩，在快期末考试的时候取消了美术和音乐课， 这种做法</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正确，有利于学生成绩的提高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正确，有利于学生的个性发展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错误，不利于学生的全面发展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错误，不利于学生学会自主学习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5.某市教育局每年都将大量的经费和资源分配给当地升学率高的学校，这种 做法</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属于实事求是，着眼实际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没有促进学校均衡发展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对升学率差的学校起到激励作用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有利于形成良性竞争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6.初二的楠楠听说田馥甄在学校周边演出，偷偷跑出学校，过马路的时候不 慎摔伤。对此事故，承担责任的主体应是</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田馥甄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楠楠及其监护人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学校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交通局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7.自大力开展“阳光体育”运动以来，为保证学生运动时间不少于</w:t>
      </w:r>
      <w:r>
        <w:rPr>
          <w:rFonts w:hint="eastAsia"/>
          <w:lang w:eastAsia="zh-CN"/>
        </w:rPr>
        <w:t>（    ）</w:t>
      </w:r>
      <w:r>
        <w:t xml:space="preserve">， 小学的大课间已经由之前单一的“跑圈”，转变为丰富多彩的体育活动。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A.15 分钟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B.30 分钟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C.60 分钟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D.90 分钟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8.小瑜是刚刚入职的中学教师，学校以她是新老师为由，暑假期间不为其发 放工资。学校的做法侵犯了小瑜的</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教育教学权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科学研究权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获取报酬待遇权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指导评价权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9.江西某中学以向学生推销教辅资料和学生报的方式谋取利益，声称这类资 料对于学生考取重点高中非常有帮助。学校的做法</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正确，有利于学生考取重点高中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错误，教育局应该给予校长行政处罚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正确，多看各种教辅资料有利于学生的全面发展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错误，教育局应该给予学校通报批评，并且没收违法所得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10.学生李丽身体不适，不宜参加军训，但是体育老师认为李丽是故意找借  口逃避军训。如果李丽在军训时发生意外，应该由</w:t>
      </w:r>
      <w:r>
        <w:rPr>
          <w:rFonts w:hint="eastAsia"/>
          <w:lang w:eastAsia="zh-CN"/>
        </w:rPr>
        <w:t>（    ）</w:t>
      </w:r>
      <w:r>
        <w:t xml:space="preserve">依法承担相应的责任。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李丽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李丽父母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学校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班主任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11.9 岁的琦琦是一名流浪儿，根据《中华人民共和国未成年人保护法》，应对其履行收留抚养责任的主体是</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学校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民政部门设立的儿童福利机构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公安部门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居民委员会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12.某某学校的宿舍管理员张老师，在晚间查寝时吸烟，张老师的行为</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正确，教师可以在学生寝室吸烟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正确，张老师不是任课老师可以吸烟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不正确，教师不能在学生寝室吸烟    </w:t>
      </w:r>
      <w:r>
        <w:tab/>
      </w:r>
      <w:r>
        <w:t xml:space="preserve"> </w:t>
      </w:r>
      <w:r>
        <w:tab/>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不正确，教师只能偷偷在办公室吸烟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13.临近退休的赵老师虽然头发花白，依然干劲十足，不断学习充电，虚心向年轻教师请教新颖课件的制作方法，他笑言：“老了可不能服老或倚老卖老，要不断学习争取不被拍倒在沙滩上！”这说明赵老师具有</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团结同事的意识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关心学生的意识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实施素质教育的意识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终身学习的意识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14.刘老师的发际线有点高，学生小张在背后给刘老师起了个外号叫“威廉王子”，刘老师无意之中听到后非常生气，在上课时经常点名小张回答问题，回答不上来就对其严厉批评、甚至进行讽刺挖苦。刘老师的行为</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正确，有助于帮助小张谨言慎行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正确，可以警示班上其他同学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不正确，不利于小张个性成长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不正确，没有尊重小张的人格尊严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15.下列选聘班主任的做法，符合《中小学班主任工作规定》的是</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由于时间紧，刚毕业的王老师跳过岗前培训直接担任班主任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因家长投诉，跳跳所在的班这学期已经换了两任班主任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新学期三班的班主任由负责教务的姜老师担任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某校建立班主任工作档案，定期组织对班主任的考核工作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16.教师和家长的正确沟通的方式方法是</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将在学校犯错误的小夏交给其家长带回家管教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经常与家长主动联系，及时沟通学生的近况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为了集中精力教学中止家访活动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教师因为小花在学校里面调皮捣蛋，斥责其家长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17.伯牙鼓琴、子期知音的故事传唱了两千多年。请问，他们是以下列哪首乐曲而成为知音的</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《阳关三叠》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《梅花三弄》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《阳春白雪》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《高山流水》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18.三皇五帝时期，河水泛滥，大禹从鲧治水的失败中汲取教训，改变了“堵” 的办法，转而对洪水进行疏导，大禹“三过家门而不入”，耗尽心血与体力终于 完成了治水的大业。他治理的河流是</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黄河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海河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长江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淮河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19.下列作品不是拉斐尔创作的是</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《西斯廷圣母》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《雅典学派》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《大公爵的圣母》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《岩间圣母》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20.秦始皇推行的标准文字是</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甲骨文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金文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小篆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隶书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21.《史记》是后世纪传体史书的典范。下列人物在《史记》中有记载的是</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蔡伦 </w:t>
      </w:r>
      <w: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华佗 </w:t>
      </w:r>
      <w: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张仲景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汉武帝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22.“一个人并不是生来要被打败的，你尽可以把他消灭，可就是打不败他。”这句话出自海明威的名著是</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《太阳照常升起》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《老人与海》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《丧钟为谁而鸣》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《永别了，武器》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23.作家莫言获得了 2012 年诺贝尔文学奖,成为我国首位获得诺贝尔文学奖的本土作家。下列四组文学作品,全部属于莫言作品的是</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A.《红高粱》《檀香刑》《你在高原》《丰乳肥臀》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B.《檀香刑》《酒国》《蛙》《穆斯林的葬礼》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C.《红高梁》《丰乳肥臀》《蛙》《酒国》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D.《红高梁》《透明的红萝卜》《檀香刑》《推拿》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24.二次能源不包括</w:t>
      </w:r>
      <w:r>
        <w:rPr>
          <w:rFonts w:hint="eastAsia"/>
          <w:lang w:eastAsia="zh-CN"/>
        </w:rPr>
        <w:t>（    ）</w:t>
      </w:r>
      <w:r>
        <w:t xml:space="preserve">。 </w:t>
      </w:r>
    </w:p>
    <w:tbl>
      <w:tblPr>
        <w:tblStyle w:val="4"/>
        <w:tblW w:w="0" w:type="auto"/>
        <w:tblInd w:w="561" w:type="dxa"/>
        <w:tblLayout w:type="autofit"/>
        <w:tblCellMar>
          <w:top w:w="0" w:type="dxa"/>
          <w:left w:w="10" w:type="dxa"/>
          <w:bottom w:w="0" w:type="dxa"/>
          <w:right w:w="10" w:type="dxa"/>
        </w:tblCellMar>
      </w:tblPr>
      <w:tblGrid>
        <w:gridCol w:w="1068"/>
        <w:gridCol w:w="450"/>
        <w:gridCol w:w="421"/>
      </w:tblGrid>
      <w:tr>
        <w:tblPrEx>
          <w:tblCellMar>
            <w:top w:w="0" w:type="dxa"/>
            <w:left w:w="10" w:type="dxa"/>
            <w:bottom w:w="0" w:type="dxa"/>
            <w:right w:w="10" w:type="dxa"/>
          </w:tblCellMar>
        </w:tblPrEx>
        <w:trPr>
          <w:trHeight w:val="0" w:hRule="atLeast"/>
        </w:trPr>
        <w:tc>
          <w:tcPr>
            <w:tcW w:w="1068"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A.核能 </w:t>
            </w:r>
          </w:p>
        </w:tc>
        <w:tc>
          <w:tcPr>
            <w:tcW w:w="450"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 </w:t>
            </w:r>
          </w:p>
        </w:tc>
        <w:tc>
          <w:tcPr>
            <w:tcW w:w="322"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 </w:t>
            </w:r>
          </w:p>
        </w:tc>
      </w:tr>
      <w:tr>
        <w:tblPrEx>
          <w:tblCellMar>
            <w:top w:w="0" w:type="dxa"/>
            <w:left w:w="10" w:type="dxa"/>
            <w:bottom w:w="0" w:type="dxa"/>
            <w:right w:w="10" w:type="dxa"/>
          </w:tblCellMar>
        </w:tblPrEx>
        <w:trPr>
          <w:trHeight w:val="0" w:hRule="atLeast"/>
        </w:trPr>
        <w:tc>
          <w:tcPr>
            <w:tcW w:w="1068"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B.焦炭 </w:t>
            </w:r>
          </w:p>
        </w:tc>
        <w:tc>
          <w:tcPr>
            <w:tcW w:w="450"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 </w:t>
            </w:r>
          </w:p>
        </w:tc>
        <w:tc>
          <w:tcPr>
            <w:tcW w:w="322"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 </w:t>
            </w:r>
          </w:p>
        </w:tc>
      </w:tr>
      <w:tr>
        <w:tblPrEx>
          <w:tblCellMar>
            <w:top w:w="0" w:type="dxa"/>
            <w:left w:w="10" w:type="dxa"/>
            <w:bottom w:w="0" w:type="dxa"/>
            <w:right w:w="10" w:type="dxa"/>
          </w:tblCellMar>
        </w:tblPrEx>
        <w:trPr>
          <w:trHeight w:val="0" w:hRule="atLeast"/>
        </w:trPr>
        <w:tc>
          <w:tcPr>
            <w:tcW w:w="1068"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C.蒸汽 </w:t>
            </w:r>
          </w:p>
        </w:tc>
        <w:tc>
          <w:tcPr>
            <w:tcW w:w="450"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 </w:t>
            </w:r>
          </w:p>
        </w:tc>
        <w:tc>
          <w:tcPr>
            <w:tcW w:w="322"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 </w:t>
            </w:r>
          </w:p>
        </w:tc>
      </w:tr>
      <w:tr>
        <w:tblPrEx>
          <w:tblCellMar>
            <w:top w:w="0" w:type="dxa"/>
            <w:left w:w="10" w:type="dxa"/>
            <w:bottom w:w="0" w:type="dxa"/>
            <w:right w:w="10" w:type="dxa"/>
          </w:tblCellMar>
        </w:tblPrEx>
        <w:trPr>
          <w:trHeight w:val="0" w:hRule="atLeast"/>
        </w:trPr>
        <w:tc>
          <w:tcPr>
            <w:tcW w:w="1068"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D.电能 </w:t>
            </w:r>
          </w:p>
        </w:tc>
        <w:tc>
          <w:tcPr>
            <w:tcW w:w="450"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tc>
        <w:tc>
          <w:tcPr>
            <w:tcW w:w="322"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25.以下哪个</w:t>
      </w:r>
      <w:r>
        <w:rPr>
          <w:rFonts w:hint="eastAsia"/>
          <w:lang w:eastAsia="zh-CN"/>
        </w:rPr>
        <w:t>（    ）</w:t>
      </w:r>
      <w:r>
        <w:t xml:space="preserve">不是国际制基本单位。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安培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千米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千克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开尔文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26.在下图Excel中，C3单元格不能正常显示内容的原因是</w:t>
      </w:r>
      <w:r>
        <w:rPr>
          <w:rFonts w:hint="eastAsia"/>
          <w:lang w:eastAsia="zh-CN"/>
        </w:rPr>
        <w:t>（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object>
          <v:shape id="_x0000_i1025" o:spt="75" type="#_x0000_t75" style="height:106.9pt;width:331.6pt;" o:ole="t" filled="f" o:preferrelative="t" coordsize="21600,21600">
            <v:path/>
            <v:fill on="f" focussize="0,0"/>
            <v:stroke/>
            <v:imagedata r:id="rId7" o:title=""/>
            <o:lock v:ext="edit" aspectratio="t"/>
            <w10:wrap type="none"/>
            <w10:anchorlock/>
          </v:shape>
          <o:OLEObject Type="Embed" ProgID="StaticMetafile" ShapeID="_x0000_i1025" DrawAspect="Content" ObjectID="_1468075725" r:id="rId6">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输入错误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单元格宽度不够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单元格格式设置错误 </w:t>
      </w:r>
      <w: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val="en-US" w:eastAsia="zh-CN"/>
        </w:rPr>
        <w:t>D.</w:t>
      </w:r>
      <w:r>
        <w:t xml:space="preserve">单元格高度不够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27.Excel 中分类汇总之前需要</w:t>
      </w:r>
      <w:r>
        <w:rPr>
          <w:rFonts w:hint="eastAsia"/>
          <w:lang w:eastAsia="zh-CN"/>
        </w:rPr>
        <w:t>（    ）</w:t>
      </w:r>
      <w:r>
        <w:t xml:space="preserve"> </w:t>
      </w:r>
    </w:p>
    <w:tbl>
      <w:tblPr>
        <w:tblStyle w:val="4"/>
        <w:tblW w:w="0" w:type="auto"/>
        <w:tblInd w:w="561" w:type="dxa"/>
        <w:tblLayout w:type="autofit"/>
        <w:tblCellMar>
          <w:top w:w="0" w:type="dxa"/>
          <w:left w:w="10" w:type="dxa"/>
          <w:bottom w:w="0" w:type="dxa"/>
          <w:right w:w="10" w:type="dxa"/>
        </w:tblCellMar>
      </w:tblPr>
      <w:tblGrid>
        <w:gridCol w:w="1068"/>
        <w:gridCol w:w="450"/>
        <w:gridCol w:w="421"/>
        <w:gridCol w:w="421"/>
      </w:tblGrid>
      <w:tr>
        <w:tblPrEx>
          <w:tblCellMar>
            <w:top w:w="0" w:type="dxa"/>
            <w:left w:w="10" w:type="dxa"/>
            <w:bottom w:w="0" w:type="dxa"/>
            <w:right w:w="10" w:type="dxa"/>
          </w:tblCellMar>
        </w:tblPrEx>
        <w:trPr>
          <w:trHeight w:val="0" w:hRule="atLeast"/>
        </w:trPr>
        <w:tc>
          <w:tcPr>
            <w:tcW w:w="1068"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A.排序 </w:t>
            </w:r>
          </w:p>
        </w:tc>
        <w:tc>
          <w:tcPr>
            <w:tcW w:w="450"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 </w:t>
            </w:r>
          </w:p>
        </w:tc>
        <w:tc>
          <w:tcPr>
            <w:tcW w:w="421"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 </w:t>
            </w:r>
          </w:p>
        </w:tc>
        <w:tc>
          <w:tcPr>
            <w:tcW w:w="318"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 </w:t>
            </w:r>
          </w:p>
        </w:tc>
      </w:tr>
      <w:tr>
        <w:tblPrEx>
          <w:tblCellMar>
            <w:top w:w="0" w:type="dxa"/>
            <w:left w:w="10" w:type="dxa"/>
            <w:bottom w:w="0" w:type="dxa"/>
            <w:right w:w="10" w:type="dxa"/>
          </w:tblCellMar>
        </w:tblPrEx>
        <w:trPr>
          <w:trHeight w:val="0" w:hRule="atLeast"/>
        </w:trPr>
        <w:tc>
          <w:tcPr>
            <w:tcW w:w="1068"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B.筛选 </w:t>
            </w:r>
          </w:p>
        </w:tc>
        <w:tc>
          <w:tcPr>
            <w:tcW w:w="450"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 </w:t>
            </w:r>
          </w:p>
        </w:tc>
        <w:tc>
          <w:tcPr>
            <w:tcW w:w="421"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 </w:t>
            </w:r>
          </w:p>
        </w:tc>
        <w:tc>
          <w:tcPr>
            <w:tcW w:w="318"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 </w:t>
            </w:r>
          </w:p>
        </w:tc>
      </w:tr>
      <w:tr>
        <w:tblPrEx>
          <w:tblCellMar>
            <w:top w:w="0" w:type="dxa"/>
            <w:left w:w="10" w:type="dxa"/>
            <w:bottom w:w="0" w:type="dxa"/>
            <w:right w:w="10" w:type="dxa"/>
          </w:tblCellMar>
        </w:tblPrEx>
        <w:trPr>
          <w:trHeight w:val="0" w:hRule="atLeast"/>
        </w:trPr>
        <w:tc>
          <w:tcPr>
            <w:tcW w:w="1068"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C.合并 </w:t>
            </w:r>
          </w:p>
        </w:tc>
        <w:tc>
          <w:tcPr>
            <w:tcW w:w="450"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 </w:t>
            </w:r>
          </w:p>
        </w:tc>
        <w:tc>
          <w:tcPr>
            <w:tcW w:w="421"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 </w:t>
            </w:r>
          </w:p>
        </w:tc>
        <w:tc>
          <w:tcPr>
            <w:tcW w:w="318"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 </w:t>
            </w:r>
          </w:p>
        </w:tc>
      </w:tr>
      <w:tr>
        <w:tblPrEx>
          <w:tblCellMar>
            <w:top w:w="0" w:type="dxa"/>
            <w:left w:w="10" w:type="dxa"/>
            <w:bottom w:w="0" w:type="dxa"/>
            <w:right w:w="10" w:type="dxa"/>
          </w:tblCellMar>
        </w:tblPrEx>
        <w:trPr>
          <w:trHeight w:val="0" w:hRule="atLeast"/>
        </w:trPr>
        <w:tc>
          <w:tcPr>
            <w:tcW w:w="1068"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D.分类 </w:t>
            </w:r>
          </w:p>
        </w:tc>
        <w:tc>
          <w:tcPr>
            <w:tcW w:w="450"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tc>
        <w:tc>
          <w:tcPr>
            <w:tcW w:w="421"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tc>
        <w:tc>
          <w:tcPr>
            <w:tcW w:w="318" w:type="dxa"/>
            <w:tcBorders>
              <w:top w:val="single" w:color="000000" w:sz="0" w:space="0"/>
              <w:left w:val="single" w:color="000000" w:sz="0" w:space="0"/>
              <w:bottom w:val="single" w:color="000000" w:sz="0" w:space="0"/>
              <w:right w:val="single" w:color="000000" w:sz="0" w:space="0"/>
            </w:tcBorders>
            <w:shd w:val="clear" w:color="000000" w:fill="FFFFFF"/>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28.陈华、刘刚、王明三人中，星期日只有一个人在家做作业。陈华说：“我在家做作业”，刘刚说：“我没在家做作业”，王明说：“陈华没有在家做作业”。如果这三句话，只有一句是真的，那么说真话的是：（    ）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A.</w:t>
      </w:r>
      <w:r>
        <w:t xml:space="preserve">无法判断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B.</w:t>
      </w:r>
      <w:r>
        <w:t xml:space="preserve">王明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C.</w:t>
      </w:r>
      <w:r>
        <w:t xml:space="preserve">刘刚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D.</w:t>
      </w:r>
      <w:r>
        <w:t xml:space="preserve">陈华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29.从所给四个选项中，选择最合适的一个填入问号处，使之呈现一定的规律性：（    ）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object>
          <v:shape id="_x0000_i1026" o:spt="75" type="#_x0000_t75" style="height:153.6pt;width:399.8pt;" o:ole="t" filled="f" o:preferrelative="t" coordsize="21600,21600">
            <v:path/>
            <v:fill on="f" focussize="0,0"/>
            <v:stroke/>
            <v:imagedata r:id="rId9" o:title=""/>
            <o:lock v:ext="edit" aspectratio="t"/>
            <w10:wrap type="none"/>
            <w10:anchorlock/>
          </v:shape>
          <o:OLEObject Type="Embed" ProgID="StaticMetafile" ShapeID="_x0000_i1026" DrawAspect="Content" ObjectID="_1468075726" r:id="rId8">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二、材料分析题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（阅读材料，并回答问题。共 3 道题，每题 14 分，共 42 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30.材料：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t>某校班主任齐老师讲课很认真，但为人十分傲慢苛刻，对学习好的、聪明的、  成绩好比较关注，对学习成绩不良的学生却非常不客气，讽刺、挖苦学生是常事。  该班一女生徐某平时学习很刻苦，但脑子反应比较慢。一次，她被齐老师提问， 未能回答上来，齐老师当场就是一顿讽刺：“哼，像你这样的还想上大学？我看  你就能上家里蹲大学，修理地球系，拉锄钩</w:t>
      </w:r>
      <w:r>
        <w:rPr>
          <w:rFonts w:hint="eastAsia" w:ascii="宋体" w:hAnsi="宋体" w:eastAsia="宋体" w:cs="宋体"/>
        </w:rPr>
        <w:t xml:space="preserve">子专业……”惹得全班哄堂大笑，而  徐某却抬不起头来。一时间，齐老师的话被同学们竞相传开了，徐某成了众人的  笑柄。她丧失了继续学习的信心，回到家又哭又闹，死活也不肯再上学了。一周后，徐某退学了，而齐老师却在班上公开讲：“她早就该回家，再学也是白费！”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问题：根据职业理念的相关知识，分析上述材料。（14 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31.学生每天中午都吃学校的盒饭，一天，班主任发现垃圾桶附近饭盒扔得 到处都是，就请在场的同学清理。可在场的同学却说："这事一直都是小东在做， 我们不管！"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小东是刚从别的小学转来的，家境很贫寒，人也很老实，平时不太合群，总 是被其他同学欺负，自己又不敢说。老师了解到这一情况后，一方面带头清理垃， 带领其他同学共同解决班级的环境问题；另一方面，更加关心和爱护小东，帮助 小东更好的融入班集体，和大家做朋友……过了一段时间后，小东和同学们打成 一片；大家的劳动积极性也提高了。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问题：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请从教师职业道德行为角度，评析孙老师的教育行为。（14 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32.材料：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rPr>
      </w:pPr>
      <w:r>
        <w:rPr>
          <w:rFonts w:hint="eastAsia" w:ascii="宋体" w:hAnsi="宋体" w:eastAsia="宋体" w:cs="宋体"/>
        </w:rPr>
        <w:t>国际与本土张颐武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春节的价值和象征性的意义都是不可估量的，可以说是中国人最重要文化符 号之一，也是华人文化认同的象征。回首过去，世界和我们自己都发生了许多深 刻的变化，春节也在不变和变化中呈现了新的形态。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春节现在越来越引起人们的高度关切。一方面是中国的崛起造成的文化影响  力和全球华人的力量的兴起已经使得春节越来越引起了国际的关注。“中国年” 的价值和意义越来越变成了中国的重要的文化象征，逐步为世界所了解。虽然春  节在全球范围内的影响力还远不能和圣诞节相比，但在世界许多华人移民较多的  城市或社会中，春节也开始在华人社区之外产生影响。以往仅仅是传统的唐人街张灯结彩地庆祝，现在往往已经成为当地多元文化的一个重要的部分。各国政要也都发表对于春节的祝福。春节在全球的意义的凸显是一个相当引人注目的现象。 另一方面，过年的意义在今天人们重视传统文化和家庭价值的时刻更加凸显了出来。国内的“过年”的气氛也一年浓似一年。在计划经济时代，春节被简化为“过革命化的春节”。而八十年代时，在现代化和西化的浪潮中，春节的文化和认同的意义也还没有像今天一样被强化得如此之高。人们越来越重视春节的意义，越来越强调在这一时刻的文化的价值和生活意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当然，春节的国际化还仅仅限于华人和对于中国文化有兴趣的人，还难以变 得更普及。它还不能在全球获得更多的影响力。这当然和中国文化的现实的处境 有关，其全球的传播和理解还有不少局限和问题。因此，如何推展春节的文化含 义，让世界更加深入地了解其意义和价值，还是一个现实的困难。关于春节的那 些中国文化的积淀，还需要更多的理解和体认，这其实对于全球的跨文化对话具 有高度的意义和价值。让人们了解春节的趣味和活力，还需要全球华人社会更好 地努力。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春节在国内的传统意义得到了相当大的弘扬和发挥。当然也造成了返乡和回家的诸多困扰和问题，造成了春运的巨大的压力。现代所要求的是高度的流动性，  是跨越边界的需要和人的高度的灵活性，这和传统的归乡的感情的关系是复杂的。 今天的春节热说明中国社会的本土因素在当下的背景下得到了更多的展现。从这一点上看，如何回应这样的感情和精神的追求就是社会需要认真探究的。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问题：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1.从全文来看，春节“越来越引起人们的高度的关切”的原因有哪些？（4 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2.结合文意，概述应如何解决春节面临的“国际化”和“本土化”问题？（10 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三、写作题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（共 1 道题，50 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33.材料：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ascii="宋体" w:hAnsi="宋体" w:eastAsia="宋体" w:cs="宋体"/>
        </w:rPr>
        <w:t>蹲下去，请蹲下去，细细观察一棵草，哪怕是一棵最平常、最弱小的草。  草也是一个生命，生命与生命相对，你不再是观察草，而是</w:t>
      </w:r>
      <w:r>
        <w:t xml:space="preserve">面对着另一个生命，交流、领悟；草也不再是观察你，草面对着你这庞大而复杂的另一生命，将 自由地显示出自己的全部尊严、省悟与憧憬。蹲下去，请蹲下去……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要求：用规范的现代汉语写作。不要脱离材料内容或含义，立意自定，题目 自拟，观点明确，分析具体，条理清晰，语言流畅，文体不限；不少于 800（小学）或 1000（中学）字。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sectPr>
      <w:headerReference r:id="rId3" w:type="default"/>
      <w:footerReference r:id="rId4" w:type="default"/>
      <w:pgSz w:w="11906" w:h="16838"/>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d1dzG4QEAALkDAAAOAAAA&#10;AAAAAAEAIAAAAB4BAABkcnMvZTJvRG9jLnhtbFBLBQYAAAAABgAGAFkBAABx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NjRlNTY5NmFlZDM4N2FiMmQ3NTdmNzA1ZGJlODQifQ=="/>
  </w:docVars>
  <w:rsids>
    <w:rsidRoot w:val="00000000"/>
    <w:rsid w:val="01A64A6E"/>
    <w:rsid w:val="0AAB7E2E"/>
    <w:rsid w:val="0C4B79F1"/>
    <w:rsid w:val="0DD836C6"/>
    <w:rsid w:val="1D435A9C"/>
    <w:rsid w:val="1DFC7E1D"/>
    <w:rsid w:val="24453BCA"/>
    <w:rsid w:val="29F4455C"/>
    <w:rsid w:val="324529B1"/>
    <w:rsid w:val="32B10C91"/>
    <w:rsid w:val="3E967385"/>
    <w:rsid w:val="3EE3083B"/>
    <w:rsid w:val="43C679C3"/>
    <w:rsid w:val="44B65BB6"/>
    <w:rsid w:val="453D5EF9"/>
    <w:rsid w:val="47B70B40"/>
    <w:rsid w:val="4E7F07B9"/>
    <w:rsid w:val="52F92CCE"/>
    <w:rsid w:val="57670F78"/>
    <w:rsid w:val="57E233FE"/>
    <w:rsid w:val="59DD02A3"/>
    <w:rsid w:val="68AA53F7"/>
    <w:rsid w:val="6E5E1A9F"/>
    <w:rsid w:val="72091606"/>
    <w:rsid w:val="72FFE5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Office_11.1.0.12019_F1E327BC-269C-435d-A152-05C5408002CA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2021-09-08T17:41:00Z</dcterms:created>
  <dc:creator>86184</dc:creator>
  <cp:lastModifiedBy>师院3幢文印室</cp:lastModifiedBy>
  <dcterms:modified xsi:type="dcterms:W3CDTF">2022-09-07T03:20:46Z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B3B06895A41341CCA463E787AA787549</vt:lpwstr>
  </property>
</Properties>
</file>