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kinsoku/>
        <w:wordWrap/>
        <w:overflowPunct/>
        <w:topLinePunct w:val="0"/>
        <w:autoSpaceDN/>
        <w:bidi w:val="0"/>
        <w:spacing w:before="0" w:after="0" w:line="360" w:lineRule="auto"/>
        <w:ind w:left="0" w:leftChars="0"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lang w:val="en-US" w:eastAsia="zh-CN"/>
        </w:rPr>
      </w:pPr>
      <w:bookmarkStart w:id="2" w:name="_GoBack"/>
      <w:bookmarkEnd w:id="2"/>
      <w:r>
        <w:rPr>
          <w:rFonts w:hint="default" w:asciiTheme="minorEastAsia" w:hAnsiTheme="minorEastAsia" w:eastAsiaTheme="minorEastAsia" w:cstheme="minorEastAsia"/>
          <w:b/>
          <w:bCs w:val="0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b/>
          <w:bCs w:val="0"/>
          <w:lang w:val="en-US" w:eastAsia="zh-Hans"/>
        </w:rPr>
        <w:t>年</w:t>
      </w:r>
      <w:r>
        <w:rPr>
          <w:rFonts w:hint="eastAsia" w:asciiTheme="minorEastAsia" w:hAnsiTheme="minorEastAsia" w:eastAsiaTheme="minorEastAsia" w:cstheme="minorEastAsia"/>
          <w:b/>
          <w:bCs w:val="0"/>
          <w:lang w:val="en-US" w:eastAsia="zh-CN"/>
        </w:rPr>
        <w:t>国家教师资格考试</w:t>
      </w:r>
    </w:p>
    <w:p>
      <w:pPr>
        <w:pStyle w:val="5"/>
        <w:pageBreakBefore w:val="0"/>
        <w:kinsoku/>
        <w:wordWrap/>
        <w:overflowPunct/>
        <w:topLinePunct w:val="0"/>
        <w:autoSpaceDN/>
        <w:bidi w:val="0"/>
        <w:spacing w:before="0" w:after="0" w:line="360" w:lineRule="auto"/>
        <w:ind w:left="0" w:leftChars="0"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lang w:val="en-US" w:eastAsia="zh-CN"/>
        </w:rPr>
        <w:t>《综合素质》（小学）</w:t>
      </w:r>
    </w:p>
    <w:p>
      <w:pPr>
        <w:pStyle w:val="5"/>
        <w:pageBreakBefore w:val="0"/>
        <w:kinsoku/>
        <w:wordWrap/>
        <w:overflowPunct/>
        <w:topLinePunct w:val="0"/>
        <w:autoSpaceDN/>
        <w:bidi w:val="0"/>
        <w:spacing w:before="0" w:after="0" w:line="360" w:lineRule="auto"/>
        <w:ind w:left="0" w:leftChars="0"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lang w:val="en-US" w:eastAsia="zh-CN"/>
        </w:rPr>
        <w:t>模拟卷（</w:t>
      </w:r>
      <w:r>
        <w:rPr>
          <w:rFonts w:hint="eastAsia" w:asciiTheme="minorEastAsia" w:hAnsiTheme="minorEastAsia" w:eastAsiaTheme="minorEastAsia" w:cstheme="minorEastAsia"/>
          <w:b/>
          <w:bCs w:val="0"/>
          <w:lang w:val="en-US" w:eastAsia="zh-Hans"/>
        </w:rPr>
        <w:t>二</w:t>
      </w:r>
      <w:r>
        <w:rPr>
          <w:rFonts w:hint="eastAsia" w:asciiTheme="minorEastAsia" w:hAnsiTheme="minorEastAsia" w:eastAsiaTheme="minorEastAsia" w:cstheme="minorEastAsia"/>
          <w:b/>
          <w:bCs w:val="0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注意事项：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1. 考试时间为 120 分钟，满分为 150 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2. 请按规定在答题卡上填涂、作答。在试卷上作答无效，不予评分。 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360" w:lineRule="auto"/>
        <w:ind w:left="0" w:leftChars="0" w:firstLine="420" w:firstLineChars="200"/>
        <w:textAlignment w:val="auto"/>
        <w:rPr>
          <w:rFonts w:hint="eastAsia"/>
        </w:rPr>
      </w:pPr>
    </w:p>
    <w:p>
      <w:pPr>
        <w:pStyle w:val="33"/>
        <w:pageBreakBefore w:val="0"/>
        <w:kinsoku/>
        <w:wordWrap/>
        <w:overflowPunct/>
        <w:topLinePunct w:val="0"/>
        <w:autoSpaceDN/>
        <w:bidi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一</w:t>
      </w:r>
      <w:r>
        <w:rPr>
          <w:rFonts w:hint="eastAsia" w:cs="宋体"/>
          <w:color w:val="auto"/>
          <w:kern w:val="2"/>
          <w:sz w:val="21"/>
          <w:szCs w:val="21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单项选择题（本大题共29小题，每小题2分，共58分）</w:t>
      </w:r>
    </w:p>
    <w:p>
      <w:pPr>
        <w:pStyle w:val="33"/>
        <w:pageBreakBefore w:val="0"/>
        <w:kinsoku/>
        <w:wordWrap/>
        <w:overflowPunct/>
        <w:topLinePunct w:val="0"/>
        <w:autoSpaceDN/>
        <w:bidi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在每小题列出的四个备选项中只有一个是符合题目要求的，请用2B铅笔把答题卡上对应题目的答案字母按要求涂黑。错选.多选或未选均无分。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highlight w:val="none"/>
          <w:lang w:val="en-US" w:eastAsia="zh-CN" w:bidi="ar-SA"/>
        </w:rPr>
        <w:t>1.拥有20年教龄的江老师面对新教师时，常常会说：“现在的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素质教育不是要求我们教会学生知识就可以了，而是我们能教会学生在面对问题时，能够运用方法举一反三。”江老师的说法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A.正确，体现了学习者的主导地位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B.正确，体现了教会学生学习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C.不正确，没有注重教学结果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D.不正确，没有体现教师主导地位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2.唐老师为了让全班期末考试平均分能进入全年级前三名，决定最后一个月把音体美的上课时间，全部分配给需要考试的科目加强复习。唐老师的这种做法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A.正确，有利于学生提高学习成绩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B.正确，有利于学生学好文化知识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C.错误，不利于学生的全面发展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D.错误，不利于学生的个性发展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3.人的心理发展是由形象思维到抽象思维，从机械记忆到意义记忆，从无意注意到有意注意，从喜怒哀乐等原始情绪到心境、激情与应激等基本情绪状态。这体现学生身心发展规律中的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A.顺序性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B.阶段性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C.不平衡性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D.互补性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4.由于王明同学过去经常逃课，打架斗殴，并且顶撞老师，班主任李老师认为王明不是一个好学生，即使王明发生了非常大的改变，李老师也依然对王明不是很看好。李老师的做法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A.错误，忽视了学生是发展的人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B.正确，看到了学生是独特的人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C.错误，忽视了学生的全面发展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D.正确，尊重了学生的独立意义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5.班主任张老师认为阳阳成绩下降的原因是谈恋爱了。于是趁阳阳不在时，翻看了阳阳的日记本。该老师的做法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A.正确，班主任有权了解学生的情况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B.正确，体现了班主任对学生的关心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C.不正确，侵犯了学生的个人信息权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D.不正确，侵犯了学生的隐私权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6.某中学是一所民办学校，具备法人条件。该中学自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起取得法人资格。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A.批准之日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B.登记注册之日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C.批准次日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D.登记注册次日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7.某乡镇中学为提高学校的升学率，将新入学的初一年级分为了重点班和非重点班两个层次。根据《中华人民共和国义务教育法》的规定，应当由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责令学校限期改正。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A.县级人民政府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B.县级人民政府教育行政部门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C.乡镇人民政府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D.乡镇人民政府教育行政部门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8.国家实行教师资格制度，中小学教师资格由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认定。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A.县级以上人民政府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B.县级以上人民政府教育行政部门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C.市级人民政府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D.市级人民政府教育行政部门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9.初二（三）班班主任刘老师在统计学生信息时发现，该班范某独自居住，父母均在外地务工，联系该父母，其父母称范某独立能力很强，不需要人监管。以下说法错误的是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A.应当委托有监护能力的其他成年人代为监护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B.未满十四周岁的未成年人不得单独居住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C.由公安机关对未成年人的父母或者其他监护人予以训诫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D.尽管父母在外打工，也要与留守未成年子女常联系、多见面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10.小花的父母平时总是在家里大吵大闹，上初一的小花快要期末考了，小花的妈妈怕耽误孩子学习，在学校附近租了一间房子让小花独自居住。这种做法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A.正确，可以为孩子提供良好的学习环境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B.不正确，违反了《义务教育法》的相关规定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C.正确，锻炼了孩子独立生活的能力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D.不正确，违反了《预防未成年人犯罪法》的相关规定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11.某学校经教育局同意后，外包“风云”汽车公司大巴，组织八年级学生去南京研学，途中司机由于路线判断失误导致大巴车出了事故，车上有几名学生受伤。由此可知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A.学生家长承担主要责任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B.“风云”汽车公司承担主要责任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C.学校校长承担主要责任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D.教育局承担主要责任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12.下列对于少数民族聚居地区的教育措施中，做法错误的是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A.允许使用本民族语言文字编写教材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B.从经济发达地区派遣优秀教师援助该地区教育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C.组织该民族的节日庆祝活动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D.教师在课堂上宣扬民族独立有关内容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13.小花毕业后多年再次提到自己的班主任时说道：“在我家庭最困难的时期，刘老师虽然在学习上对我非常严厉，但是生活上又处处关心，这样才让我没有受到家庭问题的影响，成功地跨入了大学的校门。”这说明，对小花而言，刘老师做到了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A.教书育人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B.为人师表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C.爱国守法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D.关爱学生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14.从教30年的郑老师在给徒弟们讲话时说到：“作为老师，最基本的你得认真备课上课，完成对学生作业的批改，否则就不要把自己当做老师”。这段话表明，郑老师认为作为老师一定要做到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A.爱国守法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B.爱岗敬业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C.关爱学生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D.终身学习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bookmarkStart w:id="0" w:name="_Hlk51624275"/>
      <w:r>
        <w:rPr>
          <w:rFonts w:hint="eastAsia" w:ascii="宋体" w:hAnsi="宋体" w:eastAsia="宋体" w:cs="宋体"/>
          <w:sz w:val="21"/>
          <w:szCs w:val="21"/>
          <w:highlight w:val="none"/>
        </w:rPr>
        <w:t>15.教师是履行教育教学职责的专业人员，承担着教书育人的使命。下列行为中，违背了教书育人职业道德要求的是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A.严格照搬教材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B.收受家长礼物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C.拒绝参加培训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D.上课体罚学生</w:t>
      </w:r>
      <w:bookmarkEnd w:id="0"/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16.小王老师认为，在教育的过程中，家长最看重的是结果，学生学习的结果，主要是以分数来呈现。因此抓分数是学习的重中之重。小王老师的看法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A.正确，满足了家长和社会需要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B.正确，践行了为人师表的要求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C.不正确，违背了教书育人的要求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D.不正确，违背了关爱学生的要求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17.下列选项中，不属于汉武帝的政治举措的是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A.罢黜百家，独尊儒术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B.派张骞出使西域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C.确立中央集权制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D.开创察举制选拔人才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18.我国是一个统一的多民族国家，各民族都有自己的灿烂文化，民族音乐更是各有特色。下列乐器属于蒙古族的是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A.葫芦丝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B.冬不拉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C.马头琴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D.象脚鼓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19.在唐宋八大家中，属于宋代的文学家有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位。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A.四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B.五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C.六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D.七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.少林寺闻名世界，是中国著名的禅宗古刹。少林寺位于五岳名山中的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A.泰山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B.嵩山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C.衡山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D.华山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"/>
        </w:rPr>
        <w:t>21.王维在《洛阳女儿行》中写道：“洛阳女儿对门居，才可容颜十五余。”诗中描写的“女儿”可用的年龄称谓是</w:t>
      </w:r>
      <w:r>
        <w:rPr>
          <w:rFonts w:hint="eastAsia" w:ascii="宋体" w:hAnsi="宋体" w:cs="宋体"/>
          <w:sz w:val="21"/>
          <w:szCs w:val="21"/>
          <w:highlight w:val="none"/>
          <w:lang w:eastAsia="zh-CN" w:bidi="ar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  <w:lang w:bidi="ar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"/>
        </w:rPr>
        <w:t>A.豆蔻年华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"/>
        </w:rPr>
        <w:t>B.金钗年华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"/>
        </w:rPr>
        <w:t>C.总角之年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"/>
        </w:rPr>
        <w:t>D.及笄之年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.洋务运动时期，李鸿章创办了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，其成为近代最大的军火工厂。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A.汉阳铁厂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B.安庆内军械所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C.福州船政局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D.江南机器制造总局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.我国古代不同行业有不同的称呼，下列选项中，属于是医学界的别称是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A.杏林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B.杏坛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C.梨园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D.菊坛</w:t>
      </w:r>
      <w:r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24.下列作品与作者对应错误的是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A.顾恺之——《女史箴图》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B.赵孟頫——《秋郊饮马图》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C.唐寅——《富春山居图》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D.吴道子——《送子天王图》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.下面图片展示的是哪种舞蹈形式？（ ）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drawing>
          <wp:inline distT="0" distB="0" distL="114300" distR="114300">
            <wp:extent cx="2898775" cy="2232660"/>
            <wp:effectExtent l="0" t="0" r="9525" b="2540"/>
            <wp:docPr id="6" name="图片 6" descr="0823dd54564e925814016b979b82d158ccbf4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823dd54564e925814016b979b82d158ccbf4e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A.苗族芦笙舞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B.瑶族长鼓舞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C.朝鲜族农乐舞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D.藏族弦子舞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26.在Word中，如果想快速链接到粉笔网（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highlight w:val="none"/>
        </w:rPr>
        <w:instrText xml:space="preserve"> HYPERLINK "https://fenbi.com" </w:instrTex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https：//fenbi.com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），可以通过使用常用工具栏上的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按钮实现。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drawing>
          <wp:inline distT="0" distB="0" distL="114300" distR="114300">
            <wp:extent cx="342900" cy="409575"/>
            <wp:effectExtent l="0" t="0" r="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drawing>
          <wp:inline distT="0" distB="0" distL="114300" distR="114300">
            <wp:extent cx="344805" cy="295910"/>
            <wp:effectExtent l="0" t="0" r="17145" b="889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drawing>
          <wp:inline distT="0" distB="0" distL="114300" distR="114300">
            <wp:extent cx="457200" cy="3714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drawing>
          <wp:inline distT="0" distB="0" distL="114300" distR="114300">
            <wp:extent cx="400050" cy="371475"/>
            <wp:effectExtent l="0" t="0" r="0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.在Excel中，想计算下图中19名学生语文的平均成绩，可以使用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函数。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drawing>
          <wp:inline distT="0" distB="0" distL="114300" distR="114300">
            <wp:extent cx="1124585" cy="1849120"/>
            <wp:effectExtent l="0" t="0" r="571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A.SUM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B.AVERAGE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C.COUNT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D.RANK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28.小姚、小陈、小钟的职业分别为主持人、公司白领和自由职业者。在交流后得知：公司白领的年龄最小，</w:t>
      </w:r>
      <w:bookmarkStart w:id="1" w:name="_Hlk52143656"/>
      <w:r>
        <w:rPr>
          <w:rFonts w:hint="eastAsia" w:ascii="宋体" w:hAnsi="宋体" w:eastAsia="宋体" w:cs="宋体"/>
          <w:sz w:val="21"/>
          <w:szCs w:val="21"/>
          <w:highlight w:val="none"/>
        </w:rPr>
        <w:t>小钟的年龄比自由职业者大</w:t>
      </w:r>
      <w:bookmarkEnd w:id="1"/>
      <w:r>
        <w:rPr>
          <w:rFonts w:hint="eastAsia" w:ascii="宋体" w:hAnsi="宋体" w:eastAsia="宋体" w:cs="宋体"/>
          <w:sz w:val="21"/>
          <w:szCs w:val="21"/>
          <w:highlight w:val="none"/>
        </w:rPr>
        <w:t>，小姚的年龄比小陈的小。根据上述条件，可以确定的是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A.小姚是自由职业者，小陈是公司白领，小钟是主持人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B.小姚是公司白领，小陈是主持人，小钟是自由职业者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C.小姚是公司白领，小陈是自由职业者，小钟是主持人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D.小姚是主持人，小陈是公司白领，小钟是自由职业者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29.找规律填数字是一种很有趣的游戏，特别锻炼观察和思考能力。按照“2、7、23、72、220、665、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”空缺处的数字，正确的是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（    ）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A.2003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B.2002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C.2000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D.2001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二、材料分析题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本大题共3小题，每小题14分，共42分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30.材料：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葛老师最近感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觉压力很大，因为带的毕业班临近毕业，有的学生却对老师上课讲授的内容表示“不屑一顾”。孙祺就是这样一个有点“孤傲”的学生。虽然他的学习成绩很好，但是他在上课的时候对老师提问的问题回答很敷衍，甚至课上不想听课的时候还会和同桌说话，课下则经常独来独往，较少和同学交流。其他老师觉得学生学习成绩好就行了，其他方面就不管了。但是，葛老师觉得有必要对学生正确引导。一次，葛老师在课上播放“中国一分钟”系列微视频的时候，发现刚刚看得还很认真的孙祺又在和同桌说话，于是，葛老师便让他就刚才看的视频讲述自己的经历。孙祺有些不情愿，一开始断断续续地讲，后来提到自己去过视频中的哪个地方，便讲起来头头是道了。同学们听后觉得很有意思。通过这件事，葛老师发现，孙祺虽然性格内敛但却是一个感情体验很深刻的人，他能把所经历的事讲得妙趣横生。今后，葛老师便多次寻找机会请孙祺分享自己的学习心得或个人经历。没想到，学生们都很感兴趣，孙祺也和大家分享了很多以前没说过的趣事。通过这件事，孙祺的上课态度也发生了很大转变，变得乐于和老师互动交流了，违反课堂规则的行为也不见了。同时，葛老师发现，孙祺还主动帮助同桌补课。老师们都夸赞说，孙祺不再是从前“独行侠”似的人了。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问题：请从学生观的角度，评析葛老师的教育行为。</w:t>
      </w: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31.材料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"/>
        </w:rPr>
        <w:t>赵老师刚接手初一（3）后，对班级的每一位学生进行了一定的调查了解。根据学生的学习特点大致将学生分为三个类型。对不同的类型的学生制订了不同的教学目标。让每一个学生都有一个自己的“最近发展区”，以此激发学生的求知内驱力，“跳一跳，摘个桃”就可以实现自己的小目标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"/>
        </w:rPr>
        <w:t>班里的小磊基础和能力都比较差，接受能力也比较弱，但赵老师并没有因此而放弃小磊，反而给予更多的信任、关怀，不断给予鼓励增强他的自信心。并且赵老师经常利用自己的休息时间无偿的给小磊补课，帮他掌握课本上的基础知识。小磊的父母十分感谢赵老师的倾情教育，趁着教师节的契机，给赵老师买了名贵礼物，也被赵老师委婉地拒绝了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bidi="ar"/>
        </w:rPr>
        <w:t>问题：请结合材料，从职业道德的角度，评析赵老师的行为。</w:t>
      </w: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0000FF"/>
          <w:sz w:val="21"/>
          <w:szCs w:val="21"/>
          <w:highlight w:val="none"/>
          <w:lang w:val="en-US" w:eastAsia="zh-CN" w:bidi="ar"/>
        </w:rPr>
      </w:pP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32.材料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传统工艺如何“活化”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釉色满韵的艺术陶瓷，巧夺天工的玉石雕刻，飞针走线的刺绣织品……10日，由中国轻工业联合会举办的首届中国工艺美术博览会在南京落幕，6万多件涵盖陶瓷、织绣、漆器、文房四宝等全品类工艺美术类型的优秀作品亮相。其中既有工艺美术大师的匠心力作，也有推陈出新的文创产品，展现出当前我国工艺美术发展的繁荣图景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尽管当前的中国工艺美术行业迎来了发展的春天，但人工成本不断增加，后继人才严重匮乏，仍然成为重大挑战。为此，展会上，一场以“赋能·新生”为主题的中国工艺美术传承与发展论坛举行，从业者和专家共同探讨中国传统工艺的振兴之路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现代社会文化日益多元，如何让传统工艺“活化”？在清华大学美术学院教授王建中看来，传承中国优秀传统文化并不是简单地复古，也不是标签式的表达，“关键是要古为今用、推陈出新，实现优秀传统文化的创造性转化和创新性发展。”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让传统工艺“活化”，也要主动“破圈”。“要把品牌建设的理念带入工艺美术圈层内，为作品和技艺找到强有力的传播方式。”暨南大学文化遗产创意产业研究院院长陈平举例，雕漆作为传统工美技艺，通过制作成手机壳、指纹本等文创产品，吸引年轻消费者群体，找到了新市场。“传统手工艺品存在的制作时间较长等问题也能通过标准化、模块化的文创产品应用得以化解。”陈平说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振兴传统工艺，从长远来看，依旧需要人才接续。“薪火相传的绝技绝艺是推动工艺美术发展的根本保证，下一步既要扩大传承规模，也要追求传承质量。”中国轻工业联合会会长张崇和表示，还要创新传承方式，通过与工业制造、设计产业、休闲旅游跨界融合，开拓传统工艺美术发展新空间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（摘编自人民日报《传统工艺如何“活化”》）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问题1：文章中说提到的“活化”是指什么？请结合文本，简要概括。（4分）</w:t>
      </w: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问题2：结合文章，谈谈你对振兴传统工艺的理解。（10分）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color w:val="FF0000"/>
          <w:sz w:val="21"/>
          <w:szCs w:val="21"/>
          <w:highlight w:val="none"/>
        </w:rPr>
      </w:pPr>
    </w:p>
    <w:p>
      <w:pPr>
        <w:pStyle w:val="2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2"/>
        <w:pageBreakBefore w:val="0"/>
        <w:kinsoku/>
        <w:wordWrap/>
        <w:overflowPunct/>
        <w:topLinePunct w:val="0"/>
        <w:autoSpaceDN/>
        <w:bidi w:val="0"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pStyle w:val="6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="0"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三、写作题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本大题共1小题，共50分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33.阅读下面材料，按要求写作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材料：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电影《夺冠》上映后，女排精神再受国人关注。面对记者，郎平这样评价女排精神：“女排精神不是赢得冠军，而是有时候知道不会赢，也必须竭尽全力。是一路虽然走得摇摇晃晃甚至跌倒，但爬起来抖抖身上的尘土，依旧眼中坚定。人生不是一定会赢，而是要努力去赢。”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要求：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（1）综合上述材料所引发的思考和感悟，写一篇论说文。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（2）用规范的现代汉语写作：角度自选，立意自定，标题自拟；不少于 800 （小学）字或1000（中学）字。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NjRlNTY5NmFlZDM4N2FiMmQ3NTdmNzA1ZGJlODQifQ=="/>
  </w:docVars>
  <w:rsids>
    <w:rsidRoot w:val="33594956"/>
    <w:rsid w:val="00127770"/>
    <w:rsid w:val="002137C6"/>
    <w:rsid w:val="00215809"/>
    <w:rsid w:val="004F4EEB"/>
    <w:rsid w:val="00525A0D"/>
    <w:rsid w:val="0065364D"/>
    <w:rsid w:val="00680F30"/>
    <w:rsid w:val="007414AB"/>
    <w:rsid w:val="007C7FD1"/>
    <w:rsid w:val="00B555F3"/>
    <w:rsid w:val="00B71103"/>
    <w:rsid w:val="00D27DC8"/>
    <w:rsid w:val="00D3092B"/>
    <w:rsid w:val="00F82AA3"/>
    <w:rsid w:val="00FE0C45"/>
    <w:rsid w:val="03AA36D8"/>
    <w:rsid w:val="041777D8"/>
    <w:rsid w:val="053D57B9"/>
    <w:rsid w:val="065C3A78"/>
    <w:rsid w:val="07D77700"/>
    <w:rsid w:val="08197B2D"/>
    <w:rsid w:val="08D17C3B"/>
    <w:rsid w:val="0C7411D8"/>
    <w:rsid w:val="0DF4079B"/>
    <w:rsid w:val="0F7D02DB"/>
    <w:rsid w:val="0FED48DE"/>
    <w:rsid w:val="15647F46"/>
    <w:rsid w:val="15ED4FA0"/>
    <w:rsid w:val="18F94977"/>
    <w:rsid w:val="1E6A43CA"/>
    <w:rsid w:val="2060632A"/>
    <w:rsid w:val="24892317"/>
    <w:rsid w:val="2494240F"/>
    <w:rsid w:val="2600454B"/>
    <w:rsid w:val="2A813920"/>
    <w:rsid w:val="2A8B698E"/>
    <w:rsid w:val="2BDD4609"/>
    <w:rsid w:val="2FE734D7"/>
    <w:rsid w:val="33594956"/>
    <w:rsid w:val="34DD4748"/>
    <w:rsid w:val="395C45C1"/>
    <w:rsid w:val="3B705532"/>
    <w:rsid w:val="3C4F6849"/>
    <w:rsid w:val="3D3E0E22"/>
    <w:rsid w:val="3DAE4497"/>
    <w:rsid w:val="3F3FF32D"/>
    <w:rsid w:val="43471B70"/>
    <w:rsid w:val="44EF311E"/>
    <w:rsid w:val="518F1ABB"/>
    <w:rsid w:val="51AD520E"/>
    <w:rsid w:val="556E1AA9"/>
    <w:rsid w:val="56FC1EE5"/>
    <w:rsid w:val="577335D4"/>
    <w:rsid w:val="5C150772"/>
    <w:rsid w:val="62011AED"/>
    <w:rsid w:val="623B4671"/>
    <w:rsid w:val="686D51D8"/>
    <w:rsid w:val="69E31F10"/>
    <w:rsid w:val="71EF1BF0"/>
    <w:rsid w:val="787F3BA2"/>
    <w:rsid w:val="78DE50D9"/>
    <w:rsid w:val="7C3C7767"/>
    <w:rsid w:val="7CED06B9"/>
    <w:rsid w:val="7D3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sz w:val="32"/>
      <w:szCs w:val="32"/>
    </w:rPr>
  </w:style>
  <w:style w:type="paragraph" w:styleId="5">
    <w:name w:val="heading 3"/>
    <w:basedOn w:val="1"/>
    <w:next w:val="1"/>
    <w:link w:val="26"/>
    <w:unhideWhenUsed/>
    <w:qFormat/>
    <w:uiPriority w:val="0"/>
    <w:pPr>
      <w:spacing w:before="260" w:after="260" w:line="412" w:lineRule="auto"/>
      <w:outlineLvl w:val="2"/>
    </w:pPr>
    <w:rPr>
      <w:rFonts w:ascii="Calibri Light" w:hAnsi="Calibri Light" w:eastAsia="Calibri Light" w:cs="Times New Roman"/>
      <w:bCs/>
      <w:sz w:val="32"/>
      <w:szCs w:val="28"/>
    </w:rPr>
  </w:style>
  <w:style w:type="paragraph" w:styleId="6">
    <w:name w:val="heading 4"/>
    <w:basedOn w:val="1"/>
    <w:next w:val="1"/>
    <w:link w:val="22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link w:val="27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Note Heading"/>
    <w:basedOn w:val="1"/>
    <w:next w:val="1"/>
    <w:link w:val="20"/>
    <w:qFormat/>
    <w:uiPriority w:val="0"/>
    <w:pPr>
      <w:spacing w:before="240" w:after="240"/>
      <w:jc w:val="left"/>
    </w:pPr>
    <w:rPr>
      <w:rFonts w:cs="Times New Roman"/>
    </w:rPr>
  </w:style>
  <w:style w:type="paragraph" w:styleId="9">
    <w:name w:val="annotation text"/>
    <w:basedOn w:val="1"/>
    <w:link w:val="28"/>
    <w:qFormat/>
    <w:uiPriority w:val="0"/>
    <w:pPr>
      <w:jc w:val="left"/>
    </w:pPr>
    <w:rPr>
      <w:rFonts w:cs="Times New Roman"/>
    </w:rPr>
  </w:style>
  <w:style w:type="paragraph" w:styleId="10">
    <w:name w:val="Body Text Indent"/>
    <w:unhideWhenUsed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Balloon Text"/>
    <w:basedOn w:val="1"/>
    <w:link w:val="19"/>
    <w:qFormat/>
    <w:uiPriority w:val="0"/>
    <w:rPr>
      <w:sz w:val="18"/>
    </w:rPr>
  </w:style>
  <w:style w:type="paragraph" w:styleId="12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Normal (Web)"/>
    <w:basedOn w:val="1"/>
    <w:qFormat/>
    <w:uiPriority w:val="0"/>
    <w:rPr>
      <w:sz w:val="24"/>
    </w:rPr>
  </w:style>
  <w:style w:type="paragraph" w:styleId="15">
    <w:name w:val="annotation subject"/>
    <w:basedOn w:val="9"/>
    <w:next w:val="9"/>
    <w:link w:val="29"/>
    <w:qFormat/>
    <w:uiPriority w:val="0"/>
    <w:rPr>
      <w:b/>
    </w:rPr>
  </w:style>
  <w:style w:type="character" w:styleId="18">
    <w:name w:val="annotation reference"/>
    <w:basedOn w:val="17"/>
    <w:qFormat/>
    <w:uiPriority w:val="0"/>
    <w:rPr>
      <w:sz w:val="21"/>
      <w:szCs w:val="21"/>
    </w:rPr>
  </w:style>
  <w:style w:type="character" w:customStyle="1" w:styleId="19">
    <w:name w:val="批注框文本 字符"/>
    <w:basedOn w:val="17"/>
    <w:link w:val="11"/>
    <w:qFormat/>
    <w:uiPriority w:val="0"/>
    <w:rPr>
      <w:rFonts w:hint="eastAsia" w:ascii="宋体" w:hAnsi="Calibri" w:eastAsia="宋体" w:cs="宋体"/>
      <w:kern w:val="2"/>
      <w:sz w:val="18"/>
      <w:szCs w:val="18"/>
    </w:rPr>
  </w:style>
  <w:style w:type="character" w:customStyle="1" w:styleId="20">
    <w:name w:val="注释标题 字符"/>
    <w:basedOn w:val="17"/>
    <w:link w:val="8"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21">
    <w:name w:val="批注框文本 Char1"/>
    <w:basedOn w:val="17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22">
    <w:name w:val="标题 4 字符"/>
    <w:basedOn w:val="17"/>
    <w:link w:val="6"/>
    <w:qFormat/>
    <w:uiPriority w:val="0"/>
    <w:rPr>
      <w:rFonts w:hint="default" w:ascii="Calibri Light" w:hAnsi="Calibri Light" w:eastAsia="Calibri Light" w:cs="Calibri Light"/>
      <w:b/>
      <w:kern w:val="2"/>
      <w:sz w:val="28"/>
      <w:szCs w:val="28"/>
    </w:rPr>
  </w:style>
  <w:style w:type="character" w:customStyle="1" w:styleId="23">
    <w:name w:val="标题 2 字符"/>
    <w:basedOn w:val="17"/>
    <w:link w:val="4"/>
    <w:qFormat/>
    <w:uiPriority w:val="0"/>
    <w:rPr>
      <w:rFonts w:hint="default" w:ascii="Cambria" w:hAnsi="Cambria" w:eastAsia="宋体" w:cs="Times New Roman"/>
      <w:b/>
      <w:kern w:val="2"/>
      <w:sz w:val="32"/>
      <w:szCs w:val="32"/>
    </w:rPr>
  </w:style>
  <w:style w:type="character" w:customStyle="1" w:styleId="24">
    <w:name w:val="批注文字 Char1"/>
    <w:basedOn w:val="17"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25">
    <w:name w:val="标题 1 字符"/>
    <w:basedOn w:val="17"/>
    <w:link w:val="3"/>
    <w:qFormat/>
    <w:uiPriority w:val="0"/>
    <w:rPr>
      <w:rFonts w:hint="default" w:ascii="Calibri" w:hAnsi="Calibri" w:cs="Calibri"/>
      <w:b/>
      <w:kern w:val="44"/>
      <w:sz w:val="44"/>
      <w:szCs w:val="24"/>
    </w:rPr>
  </w:style>
  <w:style w:type="character" w:customStyle="1" w:styleId="26">
    <w:name w:val="标题 3 字符"/>
    <w:basedOn w:val="17"/>
    <w:link w:val="5"/>
    <w:qFormat/>
    <w:uiPriority w:val="0"/>
    <w:rPr>
      <w:rFonts w:hint="default" w:ascii="Calibri Light" w:hAnsi="Calibri Light" w:eastAsia="Calibri Light" w:cs="Calibri Light"/>
      <w:bCs/>
      <w:kern w:val="2"/>
      <w:sz w:val="32"/>
      <w:szCs w:val="28"/>
    </w:rPr>
  </w:style>
  <w:style w:type="character" w:customStyle="1" w:styleId="27">
    <w:name w:val="标题 5 字符"/>
    <w:basedOn w:val="17"/>
    <w:link w:val="7"/>
    <w:qFormat/>
    <w:uiPriority w:val="0"/>
    <w:rPr>
      <w:rFonts w:hint="default" w:ascii="Calibri" w:hAnsi="Calibri" w:cs="Calibri"/>
      <w:b/>
      <w:kern w:val="2"/>
      <w:sz w:val="28"/>
      <w:szCs w:val="24"/>
    </w:rPr>
  </w:style>
  <w:style w:type="character" w:customStyle="1" w:styleId="28">
    <w:name w:val="批注文字 字符"/>
    <w:basedOn w:val="17"/>
    <w:link w:val="9"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29">
    <w:name w:val="批注主题 字符"/>
    <w:basedOn w:val="17"/>
    <w:link w:val="15"/>
    <w:qFormat/>
    <w:uiPriority w:val="0"/>
    <w:rPr>
      <w:rFonts w:hint="default" w:ascii="Calibri" w:hAnsi="Calibri" w:cs="Calibri"/>
      <w:b/>
      <w:kern w:val="2"/>
      <w:sz w:val="21"/>
      <w:szCs w:val="24"/>
    </w:rPr>
  </w:style>
  <w:style w:type="character" w:customStyle="1" w:styleId="30">
    <w:name w:val="页眉 字符"/>
    <w:basedOn w:val="17"/>
    <w:link w:val="13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31">
    <w:name w:val="页脚 字符"/>
    <w:basedOn w:val="17"/>
    <w:link w:val="12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32">
    <w:name w:val="批注主题 Char1"/>
    <w:basedOn w:val="24"/>
    <w:qFormat/>
    <w:uiPriority w:val="0"/>
    <w:rPr>
      <w:rFonts w:hint="default" w:ascii="Calibri" w:hAnsi="Calibri" w:cs="Calibri"/>
      <w:b/>
      <w:kern w:val="2"/>
      <w:sz w:val="21"/>
      <w:szCs w:val="24"/>
    </w:rPr>
  </w:style>
  <w:style w:type="paragraph" w:customStyle="1" w:styleId="33">
    <w:name w:val="样式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宋体"/>
      <w:color w:val="0000FF"/>
      <w:kern w:val="2"/>
      <w:sz w:val="24"/>
      <w:szCs w:val="24"/>
      <w:lang w:val="en-US" w:eastAsia="zh-CN" w:bidi="ar-SA"/>
    </w:rPr>
  </w:style>
  <w:style w:type="paragraph" w:customStyle="1" w:styleId="34">
    <w:name w:val="样式1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45</Pages>
  <Words>4467</Words>
  <Characters>25468</Characters>
  <Lines>212</Lines>
  <Paragraphs>59</Paragraphs>
  <TotalTime>0</TotalTime>
  <ScaleCrop>false</ScaleCrop>
  <LinksUpToDate>false</LinksUpToDate>
  <CharactersWithSpaces>29876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2020-09-30T22:37:00Z</dcterms:created>
  <dc:creator>Administrator</dc:creator>
  <cp:lastModifiedBy>师院3幢文印室</cp:lastModifiedBy>
  <dcterms:modified xsi:type="dcterms:W3CDTF">2022-09-07T03:12:26Z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E31DD3AC60084AC2A05137D601500AFE</vt:lpwstr>
  </property>
</Properties>
</file>